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A16F" w14:textId="77777777" w:rsidR="006B79DD" w:rsidRPr="00EC475E" w:rsidRDefault="006B79DD" w:rsidP="006B79DD">
      <w:pPr>
        <w:jc w:val="center"/>
        <w:rPr>
          <w:rFonts w:cstheme="minorHAnsi"/>
          <w:b/>
          <w:bCs/>
          <w:sz w:val="24"/>
          <w:szCs w:val="24"/>
        </w:rPr>
      </w:pPr>
      <w:r w:rsidRPr="00EC475E">
        <w:rPr>
          <w:rFonts w:cstheme="minorHAnsi"/>
          <w:b/>
          <w:bCs/>
          <w:sz w:val="24"/>
          <w:szCs w:val="24"/>
        </w:rPr>
        <w:t>ATTACHMENT E-3</w:t>
      </w:r>
    </w:p>
    <w:p w14:paraId="6EA6D412" w14:textId="608ADE70" w:rsidR="006B79DD" w:rsidRPr="00EC475E" w:rsidRDefault="005222E6" w:rsidP="006B79DD">
      <w:pPr>
        <w:jc w:val="center"/>
        <w:rPr>
          <w:rFonts w:cstheme="minorHAnsi"/>
          <w:b/>
          <w:bCs/>
          <w:sz w:val="24"/>
          <w:szCs w:val="24"/>
        </w:rPr>
      </w:pPr>
      <w:r>
        <w:rPr>
          <w:rFonts w:cstheme="minorHAnsi"/>
          <w:b/>
          <w:bCs/>
          <w:sz w:val="24"/>
          <w:szCs w:val="24"/>
        </w:rPr>
        <w:t xml:space="preserve">PROTECTION OF </w:t>
      </w:r>
      <w:r w:rsidR="006B79DD" w:rsidRPr="00EC475E">
        <w:rPr>
          <w:rFonts w:cstheme="minorHAnsi"/>
          <w:b/>
          <w:bCs/>
          <w:sz w:val="24"/>
          <w:szCs w:val="24"/>
        </w:rPr>
        <w:t>RECIPIENT RIGHTS FOR PSYCHIATRIC INPATIENT SERVICES</w:t>
      </w:r>
    </w:p>
    <w:p w14:paraId="26A74AC0" w14:textId="77777777" w:rsidR="006B79DD" w:rsidRDefault="006B79DD" w:rsidP="00886942">
      <w:pPr>
        <w:pStyle w:val="ListParagraph"/>
        <w:numPr>
          <w:ilvl w:val="0"/>
          <w:numId w:val="1"/>
        </w:numPr>
        <w:spacing w:after="120"/>
        <w:contextualSpacing w:val="0"/>
        <w:jc w:val="both"/>
        <w:rPr>
          <w:rFonts w:cstheme="minorHAnsi"/>
        </w:rPr>
      </w:pPr>
      <w:r w:rsidRPr="006B79DD">
        <w:rPr>
          <w:rFonts w:cstheme="minorHAnsi"/>
        </w:rPr>
        <w:t>Providers of Inpatient Psychiatric Services shall:</w:t>
      </w:r>
    </w:p>
    <w:p w14:paraId="7B0100D6" w14:textId="77777777" w:rsidR="006B79DD" w:rsidRDefault="006B79DD" w:rsidP="00886942">
      <w:pPr>
        <w:pStyle w:val="ListParagraph"/>
        <w:numPr>
          <w:ilvl w:val="1"/>
          <w:numId w:val="1"/>
        </w:numPr>
        <w:spacing w:after="120"/>
        <w:contextualSpacing w:val="0"/>
        <w:jc w:val="both"/>
        <w:rPr>
          <w:rFonts w:cstheme="minorHAnsi"/>
        </w:rPr>
      </w:pPr>
      <w:r w:rsidRPr="006B79DD">
        <w:rPr>
          <w:rFonts w:cstheme="minorHAnsi"/>
        </w:rPr>
        <w:t xml:space="preserve">Establish a rights protection system as mandated by the Mental Health Code MCL 330.1755 to protect the rights of Beneficiaries of Covered Services. </w:t>
      </w:r>
      <w:proofErr w:type="gramStart"/>
      <w:r w:rsidRPr="006B79DD">
        <w:rPr>
          <w:rFonts w:cstheme="minorHAnsi"/>
        </w:rPr>
        <w:t>Provider</w:t>
      </w:r>
      <w:proofErr w:type="gramEnd"/>
      <w:r w:rsidRPr="006B79DD">
        <w:rPr>
          <w:rFonts w:cstheme="minorHAnsi"/>
        </w:rPr>
        <w:t xml:space="preserve"> will forward all reports and documentation of any Recipient Rights Investigation promptly to Member upon completion of required reporting.</w:t>
      </w:r>
    </w:p>
    <w:p w14:paraId="6885BD74" w14:textId="77777777" w:rsidR="006B79DD" w:rsidRDefault="006B79DD" w:rsidP="00886942">
      <w:pPr>
        <w:pStyle w:val="ListParagraph"/>
        <w:numPr>
          <w:ilvl w:val="1"/>
          <w:numId w:val="1"/>
        </w:numPr>
        <w:spacing w:after="120"/>
        <w:contextualSpacing w:val="0"/>
        <w:jc w:val="both"/>
        <w:rPr>
          <w:rFonts w:cstheme="minorHAnsi"/>
        </w:rPr>
      </w:pPr>
      <w:r w:rsidRPr="006B79DD">
        <w:rPr>
          <w:rFonts w:cstheme="minorHAnsi"/>
        </w:rPr>
        <w:t>Cooperate with any Member Recipient Rights procedure or activity, including but not limited to, permitting Member access at any time any program or service site, Member referred Beneficiary, Provider staff, and/or records under authority of this Agreement.</w:t>
      </w:r>
    </w:p>
    <w:p w14:paraId="6AF051F4" w14:textId="77777777" w:rsidR="006B79DD" w:rsidRDefault="006B79DD" w:rsidP="00886942">
      <w:pPr>
        <w:pStyle w:val="ListParagraph"/>
        <w:numPr>
          <w:ilvl w:val="1"/>
          <w:numId w:val="1"/>
        </w:numPr>
        <w:spacing w:after="120"/>
        <w:contextualSpacing w:val="0"/>
        <w:jc w:val="both"/>
        <w:rPr>
          <w:rFonts w:cstheme="minorHAnsi"/>
        </w:rPr>
      </w:pPr>
      <w:r w:rsidRPr="006B79DD">
        <w:rPr>
          <w:rFonts w:cstheme="minorHAnsi"/>
        </w:rPr>
        <w:t xml:space="preserve">Acknowledge Member’s right and authority to take immediate action it deems necessary and reasonable to protect any Beneficiary from confirmed or suspected violations of Recipient Rights which occur while the Beneficiary is enrolled in Provider’s program. Substantiated violations may result in suspension, denial, revocation, termination, or nonrenewal of this Agreement unless the action occurs </w:t>
      </w:r>
      <w:proofErr w:type="gramStart"/>
      <w:r w:rsidRPr="006B79DD">
        <w:rPr>
          <w:rFonts w:cstheme="minorHAnsi"/>
        </w:rPr>
        <w:t>as a result of</w:t>
      </w:r>
      <w:proofErr w:type="gramEnd"/>
      <w:r w:rsidRPr="006B79DD">
        <w:rPr>
          <w:rFonts w:cstheme="minorHAnsi"/>
        </w:rPr>
        <w:t xml:space="preserve"> a situation of limited duration arising from mechanical or power failure, acts of nature, or similar events beyond the control of Provider.</w:t>
      </w:r>
    </w:p>
    <w:p w14:paraId="06818495" w14:textId="77777777" w:rsidR="006B79DD" w:rsidRDefault="006B79DD" w:rsidP="00886942">
      <w:pPr>
        <w:pStyle w:val="ListParagraph"/>
        <w:numPr>
          <w:ilvl w:val="1"/>
          <w:numId w:val="1"/>
        </w:numPr>
        <w:spacing w:after="120"/>
        <w:contextualSpacing w:val="0"/>
        <w:jc w:val="both"/>
        <w:rPr>
          <w:rFonts w:cstheme="minorHAnsi"/>
        </w:rPr>
      </w:pPr>
      <w:r w:rsidRPr="006B79DD">
        <w:rPr>
          <w:rFonts w:cstheme="minorHAnsi"/>
        </w:rPr>
        <w:t>Remain in compliance with the Bullard-Plawecki Employee Right to Know Act, 1978 PA 397, by assuring that employees are given written notice under the conditions and as detailed in the act.</w:t>
      </w:r>
    </w:p>
    <w:p w14:paraId="5704BBA9" w14:textId="77777777" w:rsidR="006B79DD" w:rsidRDefault="006B79DD" w:rsidP="00886942">
      <w:pPr>
        <w:pStyle w:val="ListParagraph"/>
        <w:numPr>
          <w:ilvl w:val="1"/>
          <w:numId w:val="1"/>
        </w:numPr>
        <w:spacing w:after="120"/>
        <w:contextualSpacing w:val="0"/>
        <w:jc w:val="both"/>
        <w:rPr>
          <w:rFonts w:cstheme="minorHAnsi"/>
        </w:rPr>
      </w:pPr>
      <w:r w:rsidRPr="006B79DD">
        <w:rPr>
          <w:rFonts w:cstheme="minorHAnsi"/>
        </w:rPr>
        <w:t xml:space="preserve">Notify Adult Protective Services, Child Protective Services, law enforcement, and/or other public agencies as required by law regarding the apparent or suspected abuse, neglect, sexual abuse, or death of a Beneficiary. </w:t>
      </w:r>
      <w:proofErr w:type="gramStart"/>
      <w:r w:rsidRPr="006B79DD">
        <w:rPr>
          <w:rFonts w:cstheme="minorHAnsi"/>
        </w:rPr>
        <w:t>Provider</w:t>
      </w:r>
      <w:proofErr w:type="gramEnd"/>
      <w:r w:rsidRPr="006B79DD">
        <w:rPr>
          <w:rFonts w:cstheme="minorHAnsi"/>
        </w:rPr>
        <w:t xml:space="preserve"> must post a summary of these reporting requirements as provided by MDHHS or Member in an area accessible to employees for easy review.</w:t>
      </w:r>
    </w:p>
    <w:p w14:paraId="72A1AD39" w14:textId="77777777" w:rsidR="006B79DD" w:rsidRDefault="006B79DD" w:rsidP="00886942">
      <w:pPr>
        <w:pStyle w:val="ListParagraph"/>
        <w:numPr>
          <w:ilvl w:val="1"/>
          <w:numId w:val="1"/>
        </w:numPr>
        <w:spacing w:after="120"/>
        <w:contextualSpacing w:val="0"/>
        <w:jc w:val="both"/>
        <w:rPr>
          <w:rFonts w:cstheme="minorHAnsi"/>
        </w:rPr>
      </w:pPr>
      <w:r w:rsidRPr="006B79DD">
        <w:rPr>
          <w:rFonts w:cstheme="minorHAnsi"/>
        </w:rPr>
        <w:t>Furnish Member with Provider’s Recipient Rights Policies and Procedures for review, including any revisions of said Policies and Procedures as they are adopted.</w:t>
      </w:r>
    </w:p>
    <w:p w14:paraId="5CD78748" w14:textId="77777777" w:rsidR="006B79DD" w:rsidRDefault="006B79DD" w:rsidP="00886942">
      <w:pPr>
        <w:pStyle w:val="ListParagraph"/>
        <w:numPr>
          <w:ilvl w:val="0"/>
          <w:numId w:val="1"/>
        </w:numPr>
        <w:spacing w:after="120"/>
        <w:contextualSpacing w:val="0"/>
        <w:jc w:val="both"/>
        <w:rPr>
          <w:rFonts w:cstheme="minorHAnsi"/>
        </w:rPr>
      </w:pPr>
      <w:r w:rsidRPr="006B79DD">
        <w:rPr>
          <w:rFonts w:cstheme="minorHAnsi"/>
        </w:rPr>
        <w:t>Background/Regulatory Overview</w:t>
      </w:r>
    </w:p>
    <w:p w14:paraId="7DE11149" w14:textId="77777777" w:rsidR="006B79DD" w:rsidRDefault="006B79DD" w:rsidP="00886942">
      <w:pPr>
        <w:pStyle w:val="ListParagraph"/>
        <w:numPr>
          <w:ilvl w:val="1"/>
          <w:numId w:val="1"/>
        </w:numPr>
        <w:spacing w:after="120"/>
        <w:contextualSpacing w:val="0"/>
        <w:jc w:val="both"/>
        <w:rPr>
          <w:rFonts w:cstheme="minorHAnsi"/>
        </w:rPr>
      </w:pPr>
      <w:r w:rsidRPr="006B79DD">
        <w:rPr>
          <w:rFonts w:cstheme="minorHAnsi"/>
        </w:rPr>
        <w:t>The purpose of this Technical Requirement is to establish processes for meeting the educational mandates for Recipient Rights Officers/Advisors set forth in the following sections of the Michigan Mental Health Code and MDHHS/CMHSP Managed Mental Health Supports and Services Contract.</w:t>
      </w:r>
    </w:p>
    <w:p w14:paraId="2F51D7F9" w14:textId="77777777" w:rsidR="006B79DD" w:rsidRDefault="006B79DD" w:rsidP="00886942">
      <w:pPr>
        <w:pStyle w:val="ListParagraph"/>
        <w:spacing w:after="120"/>
        <w:ind w:left="1080"/>
        <w:contextualSpacing w:val="0"/>
        <w:jc w:val="both"/>
        <w:rPr>
          <w:rFonts w:cstheme="minorHAnsi"/>
          <w:b/>
          <w:bCs/>
        </w:rPr>
      </w:pPr>
      <w:r w:rsidRPr="006B79DD">
        <w:rPr>
          <w:rFonts w:cstheme="minorHAnsi"/>
          <w:b/>
          <w:bCs/>
        </w:rPr>
        <w:t>330.1754 State office of recipient rights; establishment by department; selection of director; powers and authority of state office of recipient rights.</w:t>
      </w:r>
    </w:p>
    <w:p w14:paraId="05F19610" w14:textId="77777777" w:rsidR="006B79DD" w:rsidRDefault="006B79DD" w:rsidP="00886942">
      <w:pPr>
        <w:pStyle w:val="ListParagraph"/>
        <w:spacing w:after="120"/>
        <w:ind w:left="1080"/>
        <w:contextualSpacing w:val="0"/>
        <w:jc w:val="both"/>
        <w:rPr>
          <w:rFonts w:cstheme="minorHAnsi"/>
        </w:rPr>
      </w:pPr>
      <w:r w:rsidRPr="006B79DD">
        <w:rPr>
          <w:rFonts w:cstheme="minorHAnsi"/>
        </w:rPr>
        <w:t xml:space="preserve">(2) The department shall ensure </w:t>
      </w:r>
      <w:proofErr w:type="gramStart"/>
      <w:r w:rsidRPr="006B79DD">
        <w:rPr>
          <w:rFonts w:cstheme="minorHAnsi"/>
        </w:rPr>
        <w:t>all of</w:t>
      </w:r>
      <w:proofErr w:type="gramEnd"/>
      <w:r w:rsidRPr="006B79DD">
        <w:rPr>
          <w:rFonts w:cstheme="minorHAnsi"/>
        </w:rPr>
        <w:t xml:space="preserve"> the following: (f) Technical assistance and training in recipient rights protection are available to all community mental health services programs and other</w:t>
      </w:r>
      <w:r>
        <w:rPr>
          <w:rFonts w:cstheme="minorHAnsi"/>
        </w:rPr>
        <w:t xml:space="preserve"> </w:t>
      </w:r>
      <w:r w:rsidRPr="006B79DD">
        <w:rPr>
          <w:rFonts w:cstheme="minorHAnsi"/>
        </w:rPr>
        <w:t>mental health service providers subject to this act.</w:t>
      </w:r>
    </w:p>
    <w:p w14:paraId="133FA7AF" w14:textId="77777777" w:rsidR="006B79DD" w:rsidRDefault="006B79DD" w:rsidP="00886942">
      <w:pPr>
        <w:pStyle w:val="ListParagraph"/>
        <w:spacing w:after="120"/>
        <w:ind w:left="1080"/>
        <w:contextualSpacing w:val="0"/>
        <w:jc w:val="both"/>
        <w:rPr>
          <w:rFonts w:cstheme="minorHAnsi"/>
          <w:b/>
          <w:bCs/>
        </w:rPr>
      </w:pPr>
      <w:r w:rsidRPr="006B79DD">
        <w:rPr>
          <w:rFonts w:cstheme="minorHAnsi"/>
          <w:b/>
          <w:bCs/>
        </w:rPr>
        <w:t>330.1755 Office of recipient rights; establishment by community mental health services program and hospital.</w:t>
      </w:r>
    </w:p>
    <w:p w14:paraId="7FF2C6B7" w14:textId="77777777" w:rsidR="006B79DD" w:rsidRDefault="006B79DD" w:rsidP="00886942">
      <w:pPr>
        <w:pStyle w:val="ListParagraph"/>
        <w:spacing w:after="120"/>
        <w:ind w:left="1080"/>
        <w:contextualSpacing w:val="0"/>
        <w:jc w:val="both"/>
        <w:rPr>
          <w:rFonts w:cstheme="minorHAnsi"/>
        </w:rPr>
      </w:pPr>
      <w:r w:rsidRPr="006B79DD">
        <w:rPr>
          <w:rFonts w:cstheme="minorHAnsi"/>
        </w:rPr>
        <w:lastRenderedPageBreak/>
        <w:t xml:space="preserve">(2) Each community mental health services program and each licensed hospital shall ensure </w:t>
      </w:r>
      <w:proofErr w:type="gramStart"/>
      <w:r w:rsidRPr="006B79DD">
        <w:rPr>
          <w:rFonts w:cstheme="minorHAnsi"/>
        </w:rPr>
        <w:t>all of</w:t>
      </w:r>
      <w:proofErr w:type="gramEnd"/>
      <w:r w:rsidRPr="006B79DD">
        <w:rPr>
          <w:rFonts w:cstheme="minorHAnsi"/>
        </w:rPr>
        <w:t xml:space="preserve"> the following: (e) Staff of the office of recipient rights receive training each year in recipient</w:t>
      </w:r>
      <w:r>
        <w:rPr>
          <w:rFonts w:cstheme="minorHAnsi"/>
        </w:rPr>
        <w:t xml:space="preserve"> </w:t>
      </w:r>
      <w:r w:rsidRPr="006B79DD">
        <w:rPr>
          <w:rFonts w:cstheme="minorHAnsi"/>
        </w:rPr>
        <w:t>rights protection.</w:t>
      </w:r>
    </w:p>
    <w:p w14:paraId="361ED1B6" w14:textId="22A5AF2C" w:rsidR="006B79DD" w:rsidRDefault="006B79DD" w:rsidP="00886942">
      <w:pPr>
        <w:pStyle w:val="ListParagraph"/>
        <w:spacing w:after="120"/>
        <w:ind w:left="1080"/>
        <w:contextualSpacing w:val="0"/>
        <w:jc w:val="both"/>
        <w:rPr>
          <w:rFonts w:cstheme="minorHAnsi"/>
        </w:rPr>
      </w:pPr>
      <w:r w:rsidRPr="006B79DD">
        <w:rPr>
          <w:rFonts w:cstheme="minorHAnsi"/>
          <w:b/>
          <w:bCs/>
        </w:rPr>
        <w:t>MDHHS/CMHSP Managed Mental Health Supports and Services Contract:</w:t>
      </w:r>
      <w:r>
        <w:rPr>
          <w:rFonts w:cstheme="minorHAnsi"/>
          <w:b/>
          <w:bCs/>
        </w:rPr>
        <w:t xml:space="preserve"> </w:t>
      </w:r>
      <w:r w:rsidRPr="006B79DD">
        <w:rPr>
          <w:rFonts w:cstheme="minorHAnsi"/>
        </w:rPr>
        <w:t xml:space="preserve">The Community Mental Health Services Program (CMHSP) shall assure </w:t>
      </w:r>
      <w:proofErr w:type="gramStart"/>
      <w:r w:rsidRPr="006B79DD">
        <w:rPr>
          <w:rFonts w:cstheme="minorHAnsi"/>
        </w:rPr>
        <w:t>that,  within</w:t>
      </w:r>
      <w:proofErr w:type="gramEnd"/>
      <w:r w:rsidRPr="006B79DD">
        <w:rPr>
          <w:rFonts w:cstheme="minorHAnsi"/>
        </w:rPr>
        <w:t xml:space="preserve">  the  first three months (90 days) of employment, the Recipient Rights Office Director,  and  all  Rights Office staff (excluding clerical staff) shall attend and successfully complete the Basic Skills Training programs offered by the Department's Office of Recipient Rights. In addition, within every three (3) year period </w:t>
      </w:r>
      <w:proofErr w:type="gramStart"/>
      <w:r w:rsidRPr="006B79DD">
        <w:rPr>
          <w:rFonts w:cstheme="minorHAnsi"/>
        </w:rPr>
        <w:t>subsequent to</w:t>
      </w:r>
      <w:proofErr w:type="gramEnd"/>
      <w:r w:rsidRPr="006B79DD">
        <w:rPr>
          <w:rFonts w:cstheme="minorHAnsi"/>
        </w:rPr>
        <w:t xml:space="preserve"> their completion of Basic Skills, the Recipient Rights Office Director and all Rights Office staff (excluding clerical staff) must comply with the requirements specified in Attachment C6.3.2.3A “Continuing Education Requirements for Recipient Rights Staff”.</w:t>
      </w:r>
    </w:p>
    <w:p w14:paraId="1CFD8F4D" w14:textId="77777777" w:rsidR="006B79DD" w:rsidRPr="006B79DD" w:rsidRDefault="006B79DD" w:rsidP="00886942">
      <w:pPr>
        <w:pStyle w:val="ListParagraph"/>
        <w:numPr>
          <w:ilvl w:val="0"/>
          <w:numId w:val="1"/>
        </w:numPr>
        <w:spacing w:after="120"/>
        <w:contextualSpacing w:val="0"/>
        <w:jc w:val="both"/>
        <w:rPr>
          <w:rFonts w:cstheme="minorHAnsi"/>
          <w:b/>
          <w:bCs/>
        </w:rPr>
      </w:pPr>
      <w:r w:rsidRPr="006B79DD">
        <w:rPr>
          <w:rFonts w:cstheme="minorHAnsi"/>
        </w:rPr>
        <w:t>Definitions</w:t>
      </w:r>
    </w:p>
    <w:p w14:paraId="1EE611F5" w14:textId="77777777" w:rsidR="006B79DD" w:rsidRPr="006B79DD" w:rsidRDefault="006B79DD" w:rsidP="00886942">
      <w:pPr>
        <w:pStyle w:val="ListParagraph"/>
        <w:numPr>
          <w:ilvl w:val="1"/>
          <w:numId w:val="1"/>
        </w:numPr>
        <w:spacing w:after="120"/>
        <w:contextualSpacing w:val="0"/>
        <w:jc w:val="both"/>
        <w:rPr>
          <w:rFonts w:cstheme="minorHAnsi"/>
          <w:b/>
          <w:bCs/>
        </w:rPr>
      </w:pPr>
      <w:r w:rsidRPr="006B79DD">
        <w:rPr>
          <w:rFonts w:cstheme="minorHAnsi"/>
        </w:rPr>
        <w:t>Continuing Education Unit:</w:t>
      </w:r>
    </w:p>
    <w:p w14:paraId="77296EE1" w14:textId="77777777" w:rsidR="006B79DD" w:rsidRDefault="006B79DD" w:rsidP="00886942">
      <w:pPr>
        <w:pStyle w:val="ListParagraph"/>
        <w:spacing w:after="120"/>
        <w:ind w:left="1080"/>
        <w:contextualSpacing w:val="0"/>
        <w:jc w:val="both"/>
        <w:rPr>
          <w:rFonts w:cstheme="minorHAnsi"/>
        </w:rPr>
      </w:pPr>
      <w:r w:rsidRPr="006B79DD">
        <w:rPr>
          <w:rFonts w:cstheme="minorHAnsi"/>
        </w:rPr>
        <w:t>One Continuing Education Unit (CEU) is defined as one clock hour (60 minutes) of participation in an organized continuing education experience under responsible sponsorship, capable direction, and qualified instruction. The primary purpose of the CEU is to provide a permanent record of the educational accomplishments of an individual who has completed one or more significant educational experiences.</w:t>
      </w:r>
    </w:p>
    <w:p w14:paraId="6B171ECE" w14:textId="77777777" w:rsidR="006B79DD" w:rsidRPr="006B79DD" w:rsidRDefault="006B79DD" w:rsidP="00886942">
      <w:pPr>
        <w:pStyle w:val="ListParagraph"/>
        <w:numPr>
          <w:ilvl w:val="1"/>
          <w:numId w:val="1"/>
        </w:numPr>
        <w:spacing w:after="120"/>
        <w:contextualSpacing w:val="0"/>
        <w:jc w:val="both"/>
        <w:rPr>
          <w:rFonts w:cstheme="minorHAnsi"/>
          <w:b/>
          <w:bCs/>
        </w:rPr>
      </w:pPr>
      <w:r w:rsidRPr="006B79DD">
        <w:rPr>
          <w:rFonts w:cstheme="minorHAnsi"/>
        </w:rPr>
        <w:t>Category I Credits: Operations</w:t>
      </w:r>
    </w:p>
    <w:p w14:paraId="27077D2C" w14:textId="77777777" w:rsidR="006B79DD" w:rsidRPr="006B79DD" w:rsidRDefault="006B79DD" w:rsidP="00886942">
      <w:pPr>
        <w:pStyle w:val="ListParagraph"/>
        <w:spacing w:after="120"/>
        <w:ind w:left="1080"/>
        <w:contextualSpacing w:val="0"/>
        <w:jc w:val="both"/>
        <w:rPr>
          <w:rFonts w:cstheme="minorHAnsi"/>
          <w:b/>
          <w:bCs/>
        </w:rPr>
      </w:pPr>
      <w:r w:rsidRPr="006B79DD">
        <w:rPr>
          <w:rFonts w:cstheme="minorHAnsi"/>
        </w:rPr>
        <w:t>This category includes programs that support and enhance the fundamental scope of responsibilities and effective work of recipient rights staff. These may be directly related to prevention, complaint resolution, and monitoring and education that support the fundamental scope of a Rights Office’s operations.</w:t>
      </w:r>
    </w:p>
    <w:p w14:paraId="5EAB1B5A" w14:textId="77777777" w:rsidR="006B79DD" w:rsidRPr="006B79DD" w:rsidRDefault="006B79DD" w:rsidP="00886942">
      <w:pPr>
        <w:pStyle w:val="ListParagraph"/>
        <w:spacing w:after="120"/>
        <w:ind w:left="1080"/>
        <w:contextualSpacing w:val="0"/>
        <w:jc w:val="both"/>
        <w:rPr>
          <w:rFonts w:cstheme="minorHAnsi"/>
          <w:b/>
          <w:bCs/>
        </w:rPr>
      </w:pPr>
      <w:r w:rsidRPr="006B79DD">
        <w:rPr>
          <w:rFonts w:cstheme="minorHAnsi"/>
        </w:rPr>
        <w:t>Examples include:</w:t>
      </w:r>
    </w:p>
    <w:p w14:paraId="5ED945F9" w14:textId="77777777" w:rsidR="006B79DD" w:rsidRPr="006B79DD" w:rsidRDefault="006B79DD" w:rsidP="00886942">
      <w:pPr>
        <w:pStyle w:val="ListParagraph"/>
        <w:numPr>
          <w:ilvl w:val="2"/>
          <w:numId w:val="1"/>
        </w:numPr>
        <w:spacing w:after="120"/>
        <w:contextualSpacing w:val="0"/>
        <w:jc w:val="both"/>
        <w:rPr>
          <w:rFonts w:cstheme="minorHAnsi"/>
          <w:b/>
          <w:bCs/>
        </w:rPr>
      </w:pPr>
      <w:r w:rsidRPr="006B79DD">
        <w:rPr>
          <w:rFonts w:cstheme="minorHAnsi"/>
        </w:rPr>
        <w:t>Rights Office Operations Techniques</w:t>
      </w:r>
    </w:p>
    <w:p w14:paraId="73F69187" w14:textId="77777777" w:rsidR="006B79DD" w:rsidRPr="006B79DD" w:rsidRDefault="006B79DD" w:rsidP="00886942">
      <w:pPr>
        <w:pStyle w:val="ListParagraph"/>
        <w:numPr>
          <w:ilvl w:val="2"/>
          <w:numId w:val="1"/>
        </w:numPr>
        <w:spacing w:after="120"/>
        <w:contextualSpacing w:val="0"/>
        <w:jc w:val="both"/>
        <w:rPr>
          <w:rFonts w:cstheme="minorHAnsi"/>
          <w:b/>
          <w:bCs/>
        </w:rPr>
      </w:pPr>
      <w:r w:rsidRPr="006B79DD">
        <w:rPr>
          <w:rFonts w:cstheme="minorHAnsi"/>
        </w:rPr>
        <w:t>Enhancing Investigative Skills</w:t>
      </w:r>
    </w:p>
    <w:p w14:paraId="289B3439" w14:textId="77777777" w:rsidR="006B79DD" w:rsidRPr="006B79DD" w:rsidRDefault="006B79DD" w:rsidP="00886942">
      <w:pPr>
        <w:pStyle w:val="ListParagraph"/>
        <w:numPr>
          <w:ilvl w:val="2"/>
          <w:numId w:val="1"/>
        </w:numPr>
        <w:spacing w:after="120"/>
        <w:contextualSpacing w:val="0"/>
        <w:jc w:val="both"/>
        <w:rPr>
          <w:rFonts w:cstheme="minorHAnsi"/>
          <w:b/>
          <w:bCs/>
        </w:rPr>
      </w:pPr>
      <w:r w:rsidRPr="006B79DD">
        <w:rPr>
          <w:rFonts w:cstheme="minorHAnsi"/>
        </w:rPr>
        <w:t>Inpatient Rights</w:t>
      </w:r>
    </w:p>
    <w:p w14:paraId="06AF9FD8" w14:textId="77777777" w:rsidR="006B79DD" w:rsidRPr="006B79DD" w:rsidRDefault="006B79DD" w:rsidP="00886942">
      <w:pPr>
        <w:pStyle w:val="ListParagraph"/>
        <w:numPr>
          <w:ilvl w:val="2"/>
          <w:numId w:val="1"/>
        </w:numPr>
        <w:spacing w:after="120"/>
        <w:contextualSpacing w:val="0"/>
        <w:jc w:val="both"/>
        <w:rPr>
          <w:rFonts w:cstheme="minorHAnsi"/>
          <w:b/>
          <w:bCs/>
        </w:rPr>
      </w:pPr>
      <w:r w:rsidRPr="006B79DD">
        <w:rPr>
          <w:rFonts w:cstheme="minorHAnsi"/>
        </w:rPr>
        <w:t>Out-of-catchment rights protection</w:t>
      </w:r>
    </w:p>
    <w:p w14:paraId="5D905367" w14:textId="77777777" w:rsidR="006B79DD" w:rsidRPr="006B79DD" w:rsidRDefault="006B79DD" w:rsidP="00886942">
      <w:pPr>
        <w:pStyle w:val="ListParagraph"/>
        <w:numPr>
          <w:ilvl w:val="2"/>
          <w:numId w:val="1"/>
        </w:numPr>
        <w:spacing w:after="120"/>
        <w:contextualSpacing w:val="0"/>
        <w:jc w:val="both"/>
        <w:rPr>
          <w:rFonts w:cstheme="minorHAnsi"/>
          <w:b/>
          <w:bCs/>
        </w:rPr>
      </w:pPr>
      <w:r w:rsidRPr="006B79DD">
        <w:rPr>
          <w:rFonts w:cstheme="minorHAnsi"/>
        </w:rPr>
        <w:t>Writing effective rights-related contract language</w:t>
      </w:r>
    </w:p>
    <w:p w14:paraId="1E5AF640" w14:textId="77777777" w:rsidR="006B79DD" w:rsidRPr="006B79DD" w:rsidRDefault="006B79DD" w:rsidP="00886942">
      <w:pPr>
        <w:pStyle w:val="ListParagraph"/>
        <w:numPr>
          <w:ilvl w:val="2"/>
          <w:numId w:val="1"/>
        </w:numPr>
        <w:spacing w:after="120"/>
        <w:contextualSpacing w:val="0"/>
        <w:jc w:val="both"/>
        <w:rPr>
          <w:rFonts w:cstheme="minorHAnsi"/>
          <w:b/>
          <w:bCs/>
        </w:rPr>
      </w:pPr>
      <w:r w:rsidRPr="006B79DD">
        <w:rPr>
          <w:rFonts w:cstheme="minorHAnsi"/>
        </w:rPr>
        <w:t>Conducting effective site visits</w:t>
      </w:r>
    </w:p>
    <w:p w14:paraId="12293586" w14:textId="77777777" w:rsidR="006B79DD" w:rsidRPr="006B79DD" w:rsidRDefault="006B79DD" w:rsidP="00886942">
      <w:pPr>
        <w:pStyle w:val="ListParagraph"/>
        <w:numPr>
          <w:ilvl w:val="2"/>
          <w:numId w:val="1"/>
        </w:numPr>
        <w:spacing w:after="120"/>
        <w:contextualSpacing w:val="0"/>
        <w:jc w:val="both"/>
        <w:rPr>
          <w:rFonts w:cstheme="minorHAnsi"/>
          <w:b/>
          <w:bCs/>
        </w:rPr>
      </w:pPr>
      <w:r w:rsidRPr="006B79DD">
        <w:rPr>
          <w:rFonts w:cstheme="minorHAnsi"/>
        </w:rPr>
        <w:t>How to protect rights in a dual rights protection system</w:t>
      </w:r>
    </w:p>
    <w:p w14:paraId="59502960" w14:textId="77777777" w:rsidR="006B79DD" w:rsidRPr="006B79DD" w:rsidRDefault="006B79DD" w:rsidP="00886942">
      <w:pPr>
        <w:pStyle w:val="ListParagraph"/>
        <w:numPr>
          <w:ilvl w:val="1"/>
          <w:numId w:val="1"/>
        </w:numPr>
        <w:spacing w:after="120"/>
        <w:contextualSpacing w:val="0"/>
        <w:jc w:val="both"/>
        <w:rPr>
          <w:rFonts w:cstheme="minorHAnsi"/>
          <w:b/>
          <w:bCs/>
        </w:rPr>
      </w:pPr>
      <w:r w:rsidRPr="006B79DD">
        <w:rPr>
          <w:rFonts w:cstheme="minorHAnsi"/>
        </w:rPr>
        <w:t>Category II Credits: Legal Foundations</w:t>
      </w:r>
    </w:p>
    <w:p w14:paraId="32449C8E" w14:textId="77777777" w:rsidR="006B79DD" w:rsidRPr="006B79DD" w:rsidRDefault="006B79DD" w:rsidP="00886942">
      <w:pPr>
        <w:pStyle w:val="ListParagraph"/>
        <w:spacing w:after="120"/>
        <w:ind w:left="1080"/>
        <w:contextualSpacing w:val="0"/>
        <w:jc w:val="both"/>
        <w:rPr>
          <w:rFonts w:cstheme="minorHAnsi"/>
          <w:b/>
          <w:bCs/>
        </w:rPr>
      </w:pPr>
      <w:r w:rsidRPr="006B79DD">
        <w:rPr>
          <w:rFonts w:cstheme="minorHAnsi"/>
        </w:rPr>
        <w:t>This category includes programs that enhance the understanding and application of the Mental Health Code, Administrative Rules, Disability and Human Rights Laws, HIPAA and the MHC, Federal Laws and regulations and any other laws addressing the legal rights of a mental health recipient.</w:t>
      </w:r>
    </w:p>
    <w:p w14:paraId="15CB7B94" w14:textId="77777777" w:rsidR="006B79DD" w:rsidRPr="006B79DD" w:rsidRDefault="006B79DD" w:rsidP="00886942">
      <w:pPr>
        <w:pStyle w:val="ListParagraph"/>
        <w:numPr>
          <w:ilvl w:val="1"/>
          <w:numId w:val="1"/>
        </w:numPr>
        <w:spacing w:after="120"/>
        <w:contextualSpacing w:val="0"/>
        <w:jc w:val="both"/>
        <w:rPr>
          <w:rFonts w:cstheme="minorHAnsi"/>
          <w:b/>
          <w:bCs/>
        </w:rPr>
      </w:pPr>
      <w:r w:rsidRPr="006B79DD">
        <w:rPr>
          <w:rFonts w:cstheme="minorHAnsi"/>
        </w:rPr>
        <w:t>Category III Credits: Leadership</w:t>
      </w:r>
    </w:p>
    <w:p w14:paraId="40C2E04C" w14:textId="77777777" w:rsidR="006B79DD" w:rsidRPr="006B79DD" w:rsidRDefault="006B79DD" w:rsidP="00886942">
      <w:pPr>
        <w:pStyle w:val="ListParagraph"/>
        <w:spacing w:after="120"/>
        <w:ind w:left="1080"/>
        <w:contextualSpacing w:val="0"/>
        <w:jc w:val="both"/>
        <w:rPr>
          <w:rFonts w:cstheme="minorHAnsi"/>
          <w:b/>
          <w:bCs/>
        </w:rPr>
      </w:pPr>
      <w:r w:rsidRPr="006B79DD">
        <w:rPr>
          <w:rFonts w:cstheme="minorHAnsi"/>
        </w:rPr>
        <w:t xml:space="preserve">This category includes programs that support and enhance the leadership abilities of rights staff. </w:t>
      </w:r>
    </w:p>
    <w:p w14:paraId="3CBDC668" w14:textId="77777777" w:rsidR="006B79DD" w:rsidRPr="006B79DD" w:rsidRDefault="006B79DD" w:rsidP="00886942">
      <w:pPr>
        <w:pStyle w:val="ListParagraph"/>
        <w:spacing w:after="120"/>
        <w:ind w:left="1080"/>
        <w:contextualSpacing w:val="0"/>
        <w:jc w:val="both"/>
        <w:rPr>
          <w:rFonts w:cstheme="minorHAnsi"/>
          <w:b/>
          <w:bCs/>
        </w:rPr>
      </w:pPr>
      <w:r w:rsidRPr="006B79DD">
        <w:rPr>
          <w:rFonts w:cstheme="minorHAnsi"/>
        </w:rPr>
        <w:t>Examples include:</w:t>
      </w:r>
    </w:p>
    <w:p w14:paraId="7043CDC6" w14:textId="77777777" w:rsidR="006B79DD" w:rsidRPr="006B79DD" w:rsidRDefault="006B79DD" w:rsidP="00886942">
      <w:pPr>
        <w:pStyle w:val="ListParagraph"/>
        <w:numPr>
          <w:ilvl w:val="2"/>
          <w:numId w:val="1"/>
        </w:numPr>
        <w:spacing w:after="120"/>
        <w:contextualSpacing w:val="0"/>
        <w:jc w:val="both"/>
        <w:rPr>
          <w:rFonts w:cstheme="minorHAnsi"/>
          <w:b/>
          <w:bCs/>
        </w:rPr>
      </w:pPr>
      <w:r w:rsidRPr="006B79DD">
        <w:rPr>
          <w:rFonts w:cstheme="minorHAnsi"/>
        </w:rPr>
        <w:t>Community Mental Health Services Program (CMHSP) issues</w:t>
      </w:r>
    </w:p>
    <w:p w14:paraId="006AEDC3" w14:textId="77777777" w:rsidR="006B79DD" w:rsidRPr="006B79DD" w:rsidRDefault="006B79DD" w:rsidP="00886942">
      <w:pPr>
        <w:pStyle w:val="ListParagraph"/>
        <w:numPr>
          <w:ilvl w:val="2"/>
          <w:numId w:val="1"/>
        </w:numPr>
        <w:spacing w:after="120"/>
        <w:contextualSpacing w:val="0"/>
        <w:jc w:val="both"/>
        <w:rPr>
          <w:rFonts w:cstheme="minorHAnsi"/>
          <w:b/>
          <w:bCs/>
        </w:rPr>
      </w:pPr>
      <w:r w:rsidRPr="006B79DD">
        <w:rPr>
          <w:rFonts w:cstheme="minorHAnsi"/>
        </w:rPr>
        <w:t>How to establish a rights presence in an organization</w:t>
      </w:r>
    </w:p>
    <w:p w14:paraId="1176EDA3" w14:textId="1A8753FE" w:rsidR="006B79DD" w:rsidRPr="006B79DD" w:rsidRDefault="006B79DD" w:rsidP="00886942">
      <w:pPr>
        <w:pStyle w:val="ListParagraph"/>
        <w:numPr>
          <w:ilvl w:val="2"/>
          <w:numId w:val="1"/>
        </w:numPr>
        <w:spacing w:after="120"/>
        <w:contextualSpacing w:val="0"/>
        <w:jc w:val="both"/>
        <w:rPr>
          <w:rFonts w:cstheme="minorHAnsi"/>
          <w:b/>
          <w:bCs/>
        </w:rPr>
      </w:pPr>
      <w:r w:rsidRPr="006B79DD">
        <w:rPr>
          <w:rFonts w:cstheme="minorHAnsi"/>
        </w:rPr>
        <w:t>Understanding rights data and how to use it to trigger systemic organizational changes</w:t>
      </w:r>
      <w:r>
        <w:rPr>
          <w:rFonts w:cstheme="minorHAnsi"/>
        </w:rPr>
        <w:t>.</w:t>
      </w:r>
    </w:p>
    <w:p w14:paraId="29F5BE34" w14:textId="77777777" w:rsidR="006B79DD" w:rsidRPr="006B79DD" w:rsidRDefault="006B79DD" w:rsidP="00886942">
      <w:pPr>
        <w:pStyle w:val="ListParagraph"/>
        <w:numPr>
          <w:ilvl w:val="2"/>
          <w:numId w:val="1"/>
        </w:numPr>
        <w:spacing w:after="120"/>
        <w:contextualSpacing w:val="0"/>
        <w:jc w:val="both"/>
        <w:rPr>
          <w:rFonts w:cstheme="minorHAnsi"/>
          <w:b/>
          <w:bCs/>
        </w:rPr>
      </w:pPr>
      <w:r w:rsidRPr="006B79DD">
        <w:rPr>
          <w:rFonts w:cstheme="minorHAnsi"/>
        </w:rPr>
        <w:t>What goes on in a Failure Mode Event Analysis (FMEA)/Adverse Event Review</w:t>
      </w:r>
    </w:p>
    <w:p w14:paraId="10A0AAE1" w14:textId="77777777" w:rsidR="006B79DD" w:rsidRPr="006B79DD" w:rsidRDefault="006B79DD" w:rsidP="00886942">
      <w:pPr>
        <w:pStyle w:val="ListParagraph"/>
        <w:numPr>
          <w:ilvl w:val="2"/>
          <w:numId w:val="1"/>
        </w:numPr>
        <w:spacing w:after="120"/>
        <w:contextualSpacing w:val="0"/>
        <w:jc w:val="both"/>
        <w:rPr>
          <w:rFonts w:cstheme="minorHAnsi"/>
          <w:b/>
          <w:bCs/>
        </w:rPr>
      </w:pPr>
      <w:r w:rsidRPr="006B79DD">
        <w:rPr>
          <w:rFonts w:cstheme="minorHAnsi"/>
        </w:rPr>
        <w:t xml:space="preserve">Working with key individuals in your organization—Customer Services, Contracts Unit, and how it can enhance </w:t>
      </w:r>
      <w:proofErr w:type="gramStart"/>
      <w:r w:rsidRPr="006B79DD">
        <w:rPr>
          <w:rFonts w:cstheme="minorHAnsi"/>
        </w:rPr>
        <w:t>rights</w:t>
      </w:r>
      <w:proofErr w:type="gramEnd"/>
    </w:p>
    <w:p w14:paraId="306FECFC" w14:textId="77777777" w:rsidR="006B79DD" w:rsidRPr="006B79DD" w:rsidRDefault="006B79DD" w:rsidP="00886942">
      <w:pPr>
        <w:pStyle w:val="ListParagraph"/>
        <w:numPr>
          <w:ilvl w:val="1"/>
          <w:numId w:val="1"/>
        </w:numPr>
        <w:spacing w:after="120"/>
        <w:contextualSpacing w:val="0"/>
        <w:jc w:val="both"/>
        <w:rPr>
          <w:rFonts w:cstheme="minorHAnsi"/>
          <w:b/>
          <w:bCs/>
        </w:rPr>
      </w:pPr>
      <w:r w:rsidRPr="006B79DD">
        <w:rPr>
          <w:rFonts w:cstheme="minorHAnsi"/>
        </w:rPr>
        <w:t>Category IV Credits: Augmented Training</w:t>
      </w:r>
    </w:p>
    <w:p w14:paraId="3D9499C2" w14:textId="77777777" w:rsidR="006B79DD" w:rsidRPr="006B79DD" w:rsidRDefault="006B79DD" w:rsidP="00886942">
      <w:pPr>
        <w:pStyle w:val="ListParagraph"/>
        <w:numPr>
          <w:ilvl w:val="1"/>
          <w:numId w:val="1"/>
        </w:numPr>
        <w:spacing w:after="120"/>
        <w:contextualSpacing w:val="0"/>
        <w:jc w:val="both"/>
        <w:rPr>
          <w:rFonts w:cstheme="minorHAnsi"/>
          <w:b/>
          <w:bCs/>
        </w:rPr>
      </w:pPr>
      <w:r w:rsidRPr="006B79DD">
        <w:rPr>
          <w:rFonts w:cstheme="minorHAnsi"/>
        </w:rPr>
        <w:t xml:space="preserve">This category includes training sessions that </w:t>
      </w:r>
      <w:proofErr w:type="gramStart"/>
      <w:r w:rsidRPr="006B79DD">
        <w:rPr>
          <w:rFonts w:cstheme="minorHAnsi"/>
        </w:rPr>
        <w:t>contains</w:t>
      </w:r>
      <w:proofErr w:type="gramEnd"/>
      <w:r w:rsidRPr="006B79DD">
        <w:rPr>
          <w:rFonts w:cstheme="minorHAnsi"/>
        </w:rPr>
        <w:t xml:space="preserve"> information that would help rights staff have a better understand the people they serve, their disabilities, their families, or training indirectly related to rights but affecting rights. These may include trainings in mental health conditions and disabilities, treatment and support modalities, recovery, and self- determination </w:t>
      </w:r>
      <w:proofErr w:type="gramStart"/>
      <w:r w:rsidRPr="006B79DD">
        <w:rPr>
          <w:rFonts w:cstheme="minorHAnsi"/>
        </w:rPr>
        <w:t>as long as</w:t>
      </w:r>
      <w:proofErr w:type="gramEnd"/>
      <w:r w:rsidRPr="006B79DD">
        <w:rPr>
          <w:rFonts w:cstheme="minorHAnsi"/>
        </w:rPr>
        <w:t xml:space="preserve"> these topics can be ascertained to have a component that relates to assisting the attendee in the protection of rights. </w:t>
      </w:r>
    </w:p>
    <w:p w14:paraId="3030A071" w14:textId="77777777" w:rsidR="006B79DD" w:rsidRPr="006B79DD" w:rsidRDefault="006B79DD" w:rsidP="00886942">
      <w:pPr>
        <w:pStyle w:val="ListParagraph"/>
        <w:numPr>
          <w:ilvl w:val="1"/>
          <w:numId w:val="1"/>
        </w:numPr>
        <w:spacing w:after="120"/>
        <w:contextualSpacing w:val="0"/>
        <w:jc w:val="both"/>
        <w:rPr>
          <w:rFonts w:cstheme="minorHAnsi"/>
          <w:b/>
          <w:bCs/>
        </w:rPr>
      </w:pPr>
      <w:r w:rsidRPr="006B79DD">
        <w:rPr>
          <w:rFonts w:cstheme="minorHAnsi"/>
        </w:rPr>
        <w:t>Examples include:</w:t>
      </w:r>
    </w:p>
    <w:p w14:paraId="1E519831" w14:textId="77777777" w:rsidR="006B79DD" w:rsidRPr="006B79DD" w:rsidRDefault="006B79DD" w:rsidP="00886942">
      <w:pPr>
        <w:pStyle w:val="ListParagraph"/>
        <w:numPr>
          <w:ilvl w:val="2"/>
          <w:numId w:val="1"/>
        </w:numPr>
        <w:spacing w:after="120"/>
        <w:contextualSpacing w:val="0"/>
        <w:jc w:val="both"/>
        <w:rPr>
          <w:rFonts w:cstheme="minorHAnsi"/>
          <w:b/>
          <w:bCs/>
        </w:rPr>
      </w:pPr>
      <w:r w:rsidRPr="006B79DD">
        <w:rPr>
          <w:rFonts w:cstheme="minorHAnsi"/>
        </w:rPr>
        <w:t>Understanding MI/SUD Co-occurring disorders</w:t>
      </w:r>
    </w:p>
    <w:p w14:paraId="664E2448" w14:textId="77777777" w:rsidR="006B79DD" w:rsidRPr="006B79DD" w:rsidRDefault="006B79DD" w:rsidP="00886942">
      <w:pPr>
        <w:pStyle w:val="ListParagraph"/>
        <w:numPr>
          <w:ilvl w:val="2"/>
          <w:numId w:val="1"/>
        </w:numPr>
        <w:spacing w:after="120"/>
        <w:contextualSpacing w:val="0"/>
        <w:jc w:val="both"/>
        <w:rPr>
          <w:rFonts w:cstheme="minorHAnsi"/>
          <w:b/>
          <w:bCs/>
        </w:rPr>
      </w:pPr>
      <w:r w:rsidRPr="006B79DD">
        <w:rPr>
          <w:rFonts w:cstheme="minorHAnsi"/>
        </w:rPr>
        <w:t>How to communicate with people with disabilities</w:t>
      </w:r>
    </w:p>
    <w:p w14:paraId="0006C264" w14:textId="77777777" w:rsidR="006B79DD" w:rsidRPr="006B79DD" w:rsidRDefault="006B79DD" w:rsidP="00886942">
      <w:pPr>
        <w:pStyle w:val="ListParagraph"/>
        <w:numPr>
          <w:ilvl w:val="2"/>
          <w:numId w:val="1"/>
        </w:numPr>
        <w:spacing w:after="120"/>
        <w:contextualSpacing w:val="0"/>
        <w:jc w:val="both"/>
        <w:rPr>
          <w:rFonts w:cstheme="minorHAnsi"/>
          <w:b/>
          <w:bCs/>
        </w:rPr>
      </w:pPr>
      <w:r w:rsidRPr="006B79DD">
        <w:rPr>
          <w:rFonts w:cstheme="minorHAnsi"/>
        </w:rPr>
        <w:t>Ethics</w:t>
      </w:r>
    </w:p>
    <w:p w14:paraId="0C32AAD1" w14:textId="77777777" w:rsidR="006B79DD" w:rsidRPr="006B79DD" w:rsidRDefault="006B79DD" w:rsidP="00886942">
      <w:pPr>
        <w:pStyle w:val="ListParagraph"/>
        <w:numPr>
          <w:ilvl w:val="2"/>
          <w:numId w:val="1"/>
        </w:numPr>
        <w:spacing w:after="120"/>
        <w:contextualSpacing w:val="0"/>
        <w:jc w:val="both"/>
        <w:rPr>
          <w:rFonts w:cstheme="minorHAnsi"/>
          <w:b/>
          <w:bCs/>
        </w:rPr>
      </w:pPr>
      <w:r w:rsidRPr="006B79DD">
        <w:rPr>
          <w:rFonts w:cstheme="minorHAnsi"/>
        </w:rPr>
        <w:t>Consumers from different cultures</w:t>
      </w:r>
    </w:p>
    <w:p w14:paraId="0C68323F" w14:textId="77777777" w:rsidR="006B79DD" w:rsidRPr="006B79DD" w:rsidRDefault="006B79DD" w:rsidP="00886942">
      <w:pPr>
        <w:pStyle w:val="ListParagraph"/>
        <w:numPr>
          <w:ilvl w:val="2"/>
          <w:numId w:val="1"/>
        </w:numPr>
        <w:spacing w:after="120"/>
        <w:contextualSpacing w:val="0"/>
        <w:jc w:val="both"/>
        <w:rPr>
          <w:rFonts w:cstheme="minorHAnsi"/>
          <w:b/>
          <w:bCs/>
        </w:rPr>
      </w:pPr>
      <w:r w:rsidRPr="006B79DD">
        <w:rPr>
          <w:rFonts w:cstheme="minorHAnsi"/>
        </w:rPr>
        <w:t>Diversity Issues</w:t>
      </w:r>
    </w:p>
    <w:p w14:paraId="7AEBA5AD" w14:textId="77777777" w:rsidR="006B79DD" w:rsidRPr="006B79DD" w:rsidRDefault="006B79DD" w:rsidP="00886942">
      <w:pPr>
        <w:pStyle w:val="ListParagraph"/>
        <w:numPr>
          <w:ilvl w:val="1"/>
          <w:numId w:val="1"/>
        </w:numPr>
        <w:spacing w:after="120"/>
        <w:contextualSpacing w:val="0"/>
        <w:jc w:val="both"/>
        <w:rPr>
          <w:rFonts w:cstheme="minorHAnsi"/>
          <w:b/>
          <w:bCs/>
        </w:rPr>
      </w:pPr>
      <w:r w:rsidRPr="006B79DD">
        <w:rPr>
          <w:rFonts w:cstheme="minorHAnsi"/>
        </w:rPr>
        <w:t>CMHSP: Community Mental Health Services Program</w:t>
      </w:r>
    </w:p>
    <w:p w14:paraId="2F3FB61D" w14:textId="77777777" w:rsidR="006B79DD" w:rsidRPr="006B79DD" w:rsidRDefault="006B79DD" w:rsidP="00886942">
      <w:pPr>
        <w:pStyle w:val="ListParagraph"/>
        <w:numPr>
          <w:ilvl w:val="1"/>
          <w:numId w:val="1"/>
        </w:numPr>
        <w:spacing w:after="120"/>
        <w:contextualSpacing w:val="0"/>
        <w:jc w:val="both"/>
        <w:rPr>
          <w:rFonts w:cstheme="minorHAnsi"/>
          <w:b/>
          <w:bCs/>
        </w:rPr>
      </w:pPr>
      <w:r w:rsidRPr="006B79DD">
        <w:rPr>
          <w:rFonts w:cstheme="minorHAnsi"/>
        </w:rPr>
        <w:t xml:space="preserve">Continuing Education Committee: A committee appointed by the Director of the MDHHS-ORR Education, Training, and Compliance Unit. This committee shall consist of rights staff and management from MDHHS-ORR, CMHSP’s, and LPH/U’s and shall have at least one representative who is a Licensed </w:t>
      </w:r>
      <w:proofErr w:type="gramStart"/>
      <w:r w:rsidRPr="006B79DD">
        <w:rPr>
          <w:rFonts w:cstheme="minorHAnsi"/>
        </w:rPr>
        <w:t>Master’s</w:t>
      </w:r>
      <w:proofErr w:type="gramEnd"/>
      <w:r w:rsidRPr="006B79DD">
        <w:rPr>
          <w:rFonts w:cstheme="minorHAnsi"/>
        </w:rPr>
        <w:t xml:space="preserve"> Social Worker (LMSW). This committee shall review applications and assign an appropriate category to each approved application. Committee members shall be appointed for a three (3) year term and may be re-appointed at the discretion of the Director of ORR.</w:t>
      </w:r>
    </w:p>
    <w:p w14:paraId="3B64BA00" w14:textId="77777777" w:rsidR="006B79DD" w:rsidRPr="006B79DD" w:rsidRDefault="006B79DD" w:rsidP="00886942">
      <w:pPr>
        <w:pStyle w:val="ListParagraph"/>
        <w:numPr>
          <w:ilvl w:val="0"/>
          <w:numId w:val="1"/>
        </w:numPr>
        <w:spacing w:after="120"/>
        <w:contextualSpacing w:val="0"/>
        <w:jc w:val="both"/>
        <w:rPr>
          <w:rFonts w:cstheme="minorHAnsi"/>
          <w:b/>
          <w:bCs/>
        </w:rPr>
      </w:pPr>
      <w:r w:rsidRPr="006B79DD">
        <w:rPr>
          <w:rFonts w:cstheme="minorHAnsi"/>
        </w:rPr>
        <w:t>Standards</w:t>
      </w:r>
    </w:p>
    <w:p w14:paraId="16EAE980" w14:textId="77777777" w:rsidR="006B79DD" w:rsidRPr="006B79DD" w:rsidRDefault="006B79DD" w:rsidP="00886942">
      <w:pPr>
        <w:pStyle w:val="ListParagraph"/>
        <w:numPr>
          <w:ilvl w:val="1"/>
          <w:numId w:val="1"/>
        </w:numPr>
        <w:spacing w:after="120"/>
        <w:contextualSpacing w:val="0"/>
        <w:jc w:val="both"/>
        <w:rPr>
          <w:rFonts w:cstheme="minorHAnsi"/>
          <w:b/>
          <w:bCs/>
        </w:rPr>
      </w:pPr>
      <w:r w:rsidRPr="006B79DD">
        <w:rPr>
          <w:rFonts w:cstheme="minorHAnsi"/>
        </w:rPr>
        <w:t>All staff of the Department, a community mental health services program (CMHSP), or a licensed private Hospital (LPH), employed for the purpose of providing recipient rights services shall, within the first 90 days of employment, attend, and successfully complete, the Basic Skills Training curriculum as determined by the Michigan Department of Health and Human Services Office of Recipient Rights. The Basic Skills curriculum shall consist of the following classes:</w:t>
      </w:r>
    </w:p>
    <w:p w14:paraId="5DD8AB4B" w14:textId="77777777" w:rsidR="006B79DD" w:rsidRPr="00C55EB0" w:rsidRDefault="006B79DD" w:rsidP="00886942">
      <w:pPr>
        <w:pStyle w:val="ListParagraph"/>
        <w:spacing w:after="120"/>
        <w:ind w:left="1080" w:firstLine="360"/>
        <w:contextualSpacing w:val="0"/>
        <w:jc w:val="both"/>
        <w:rPr>
          <w:rFonts w:cstheme="minorHAnsi"/>
          <w:b/>
          <w:bCs/>
          <w:u w:val="single"/>
        </w:rPr>
      </w:pPr>
      <w:r w:rsidRPr="00C55EB0">
        <w:rPr>
          <w:rFonts w:cstheme="minorHAnsi"/>
          <w:u w:val="single"/>
        </w:rPr>
        <w:t>Basic Skills – Part 1</w:t>
      </w:r>
    </w:p>
    <w:p w14:paraId="55378C36" w14:textId="77777777" w:rsidR="006B79DD" w:rsidRPr="006B79DD" w:rsidRDefault="006B79DD" w:rsidP="00886942">
      <w:pPr>
        <w:pStyle w:val="ListParagraph"/>
        <w:spacing w:after="120"/>
        <w:ind w:left="1440"/>
        <w:contextualSpacing w:val="0"/>
        <w:jc w:val="both"/>
        <w:rPr>
          <w:rFonts w:cstheme="minorHAnsi"/>
          <w:b/>
          <w:bCs/>
        </w:rPr>
      </w:pPr>
      <w:r w:rsidRPr="006B79DD">
        <w:rPr>
          <w:rFonts w:cstheme="minorHAnsi"/>
        </w:rPr>
        <w:t>The first part of the mandatory training, this course is designed to provide participants with the knowledge of the laws required to carry out the mandates of the Mental Health Code and the activities necessary to operate an ORR office in compliance with applicable laws, rules, and standards.</w:t>
      </w:r>
    </w:p>
    <w:p w14:paraId="7B0B7EA9" w14:textId="77777777" w:rsidR="006B79DD" w:rsidRPr="00C55EB0" w:rsidRDefault="006B79DD" w:rsidP="00886942">
      <w:pPr>
        <w:pStyle w:val="ListParagraph"/>
        <w:spacing w:after="120"/>
        <w:ind w:left="1080" w:firstLine="360"/>
        <w:contextualSpacing w:val="0"/>
        <w:jc w:val="both"/>
        <w:rPr>
          <w:rFonts w:cstheme="minorHAnsi"/>
          <w:b/>
          <w:bCs/>
          <w:u w:val="single"/>
        </w:rPr>
      </w:pPr>
      <w:r w:rsidRPr="00C55EB0">
        <w:rPr>
          <w:rFonts w:cstheme="minorHAnsi"/>
          <w:u w:val="single"/>
        </w:rPr>
        <w:t>Basic Skills – Part 2</w:t>
      </w:r>
    </w:p>
    <w:p w14:paraId="400B8C41" w14:textId="77777777" w:rsidR="006B79DD" w:rsidRPr="006B79DD" w:rsidRDefault="006B79DD" w:rsidP="00886942">
      <w:pPr>
        <w:pStyle w:val="ListParagraph"/>
        <w:spacing w:after="120"/>
        <w:ind w:left="1440"/>
        <w:contextualSpacing w:val="0"/>
        <w:jc w:val="both"/>
        <w:rPr>
          <w:rFonts w:cstheme="minorHAnsi"/>
          <w:b/>
          <w:bCs/>
        </w:rPr>
      </w:pPr>
      <w:r w:rsidRPr="006B79DD">
        <w:rPr>
          <w:rFonts w:cstheme="minorHAnsi"/>
        </w:rPr>
        <w:t>The second part of the mandatory training, this course is designed to provide participants with the skills related to investigation, report writing and processing, which are needed to carry out the requirements of the Michigan Mental Health Code.</w:t>
      </w:r>
    </w:p>
    <w:p w14:paraId="7EBE29A7" w14:textId="77777777" w:rsidR="00C55EB0" w:rsidRPr="00C55EB0" w:rsidRDefault="006B79DD" w:rsidP="00886942">
      <w:pPr>
        <w:pStyle w:val="ListParagraph"/>
        <w:numPr>
          <w:ilvl w:val="0"/>
          <w:numId w:val="1"/>
        </w:numPr>
        <w:spacing w:after="120"/>
        <w:contextualSpacing w:val="0"/>
        <w:jc w:val="both"/>
        <w:rPr>
          <w:rFonts w:cstheme="minorHAnsi"/>
          <w:b/>
          <w:bCs/>
        </w:rPr>
      </w:pPr>
      <w:r w:rsidRPr="006B79DD">
        <w:rPr>
          <w:rFonts w:cstheme="minorHAnsi"/>
        </w:rPr>
        <w:t>Continuing Education Requirements</w:t>
      </w:r>
    </w:p>
    <w:p w14:paraId="5B6B9314" w14:textId="77777777" w:rsidR="00C55EB0" w:rsidRPr="00C55EB0" w:rsidRDefault="006B79DD" w:rsidP="00886942">
      <w:pPr>
        <w:pStyle w:val="ListParagraph"/>
        <w:numPr>
          <w:ilvl w:val="1"/>
          <w:numId w:val="1"/>
        </w:numPr>
        <w:spacing w:after="120"/>
        <w:contextualSpacing w:val="0"/>
        <w:jc w:val="both"/>
        <w:rPr>
          <w:rFonts w:cstheme="minorHAnsi"/>
          <w:b/>
          <w:bCs/>
        </w:rPr>
      </w:pPr>
      <w:r w:rsidRPr="00C55EB0">
        <w:rPr>
          <w:rFonts w:cstheme="minorHAnsi"/>
        </w:rPr>
        <w:t>All staff employed or contracted to provide recipient rights services shall receive education and training oriented toward maintenance, improvement or enhancement of the skills required to effectively perform the functions as rights staff.</w:t>
      </w:r>
    </w:p>
    <w:p w14:paraId="0C4889EB" w14:textId="77777777" w:rsidR="00C55EB0" w:rsidRPr="00C55EB0" w:rsidRDefault="006B79DD" w:rsidP="00886942">
      <w:pPr>
        <w:pStyle w:val="ListParagraph"/>
        <w:numPr>
          <w:ilvl w:val="1"/>
          <w:numId w:val="1"/>
        </w:numPr>
        <w:spacing w:after="120"/>
        <w:contextualSpacing w:val="0"/>
        <w:jc w:val="both"/>
        <w:rPr>
          <w:rFonts w:cstheme="minorHAnsi"/>
          <w:b/>
          <w:bCs/>
        </w:rPr>
      </w:pPr>
      <w:r w:rsidRPr="00C55EB0">
        <w:rPr>
          <w:rFonts w:cstheme="minorHAnsi"/>
        </w:rPr>
        <w:t xml:space="preserve">A minimum of 36 contact hours of education or training shall be required over a three (3) year period </w:t>
      </w:r>
      <w:proofErr w:type="gramStart"/>
      <w:r w:rsidRPr="00C55EB0">
        <w:rPr>
          <w:rFonts w:cstheme="minorHAnsi"/>
        </w:rPr>
        <w:t>subsequent to</w:t>
      </w:r>
      <w:proofErr w:type="gramEnd"/>
      <w:r w:rsidRPr="00C55EB0">
        <w:rPr>
          <w:rFonts w:cstheme="minorHAnsi"/>
        </w:rPr>
        <w:t xml:space="preserve"> the completion of the Basic Skills requirements, and in every three (3) year period thereafter.</w:t>
      </w:r>
    </w:p>
    <w:p w14:paraId="7E1F17B4" w14:textId="77777777" w:rsidR="00C55EB0" w:rsidRPr="00C55EB0" w:rsidRDefault="006B79DD" w:rsidP="00886942">
      <w:pPr>
        <w:pStyle w:val="ListParagraph"/>
        <w:numPr>
          <w:ilvl w:val="1"/>
          <w:numId w:val="1"/>
        </w:numPr>
        <w:spacing w:after="120"/>
        <w:contextualSpacing w:val="0"/>
        <w:jc w:val="both"/>
        <w:rPr>
          <w:rFonts w:cstheme="minorHAnsi"/>
          <w:b/>
          <w:bCs/>
        </w:rPr>
      </w:pPr>
      <w:r w:rsidRPr="00C55EB0">
        <w:rPr>
          <w:rFonts w:cstheme="minorHAnsi"/>
        </w:rPr>
        <w:t>The 36 contact hours obtained must be in rights-related activities and must fall within one or more of the categories identified in the definitions above. At least 3 credits must be earned each calendar year.</w:t>
      </w:r>
    </w:p>
    <w:p w14:paraId="3FD731DF" w14:textId="77777777" w:rsidR="00C55EB0" w:rsidRPr="00C55EB0" w:rsidRDefault="006B79DD" w:rsidP="00886942">
      <w:pPr>
        <w:pStyle w:val="ListParagraph"/>
        <w:numPr>
          <w:ilvl w:val="1"/>
          <w:numId w:val="1"/>
        </w:numPr>
        <w:spacing w:after="120"/>
        <w:contextualSpacing w:val="0"/>
        <w:jc w:val="both"/>
        <w:rPr>
          <w:rFonts w:cstheme="minorHAnsi"/>
          <w:b/>
          <w:bCs/>
        </w:rPr>
      </w:pPr>
      <w:r w:rsidRPr="00C55EB0">
        <w:rPr>
          <w:rFonts w:cstheme="minorHAnsi"/>
        </w:rPr>
        <w:t>A minimum of 12 contact hours must be obtained in programs classified as Category I or II.</w:t>
      </w:r>
    </w:p>
    <w:p w14:paraId="4B316A59" w14:textId="77777777" w:rsidR="00C55EB0" w:rsidRPr="00C55EB0" w:rsidRDefault="006B79DD" w:rsidP="00886942">
      <w:pPr>
        <w:pStyle w:val="ListParagraph"/>
        <w:numPr>
          <w:ilvl w:val="1"/>
          <w:numId w:val="1"/>
        </w:numPr>
        <w:spacing w:after="120"/>
        <w:contextualSpacing w:val="0"/>
        <w:jc w:val="both"/>
        <w:rPr>
          <w:rFonts w:cstheme="minorHAnsi"/>
          <w:b/>
          <w:bCs/>
        </w:rPr>
      </w:pPr>
      <w:r w:rsidRPr="00C55EB0">
        <w:rPr>
          <w:rFonts w:cstheme="minorHAnsi"/>
        </w:rPr>
        <w:t xml:space="preserve">No more than 12 credits in a </w:t>
      </w:r>
      <w:proofErr w:type="gramStart"/>
      <w:r w:rsidRPr="00C55EB0">
        <w:rPr>
          <w:rFonts w:cstheme="minorHAnsi"/>
        </w:rPr>
        <w:t>3 year</w:t>
      </w:r>
      <w:proofErr w:type="gramEnd"/>
      <w:r w:rsidRPr="00C55EB0">
        <w:rPr>
          <w:rFonts w:cstheme="minorHAnsi"/>
        </w:rPr>
        <w:t xml:space="preserve"> period may be earned through the use of online learning resources.</w:t>
      </w:r>
    </w:p>
    <w:p w14:paraId="42ACA8A6" w14:textId="77777777" w:rsidR="00C55EB0" w:rsidRPr="00C55EB0" w:rsidRDefault="006B79DD" w:rsidP="00886942">
      <w:pPr>
        <w:pStyle w:val="ListParagraph"/>
        <w:numPr>
          <w:ilvl w:val="1"/>
          <w:numId w:val="1"/>
        </w:numPr>
        <w:spacing w:after="120"/>
        <w:contextualSpacing w:val="0"/>
        <w:jc w:val="both"/>
        <w:rPr>
          <w:rFonts w:cstheme="minorHAnsi"/>
          <w:b/>
          <w:bCs/>
        </w:rPr>
      </w:pPr>
      <w:r w:rsidRPr="00C55EB0">
        <w:rPr>
          <w:rFonts w:cstheme="minorHAnsi"/>
        </w:rPr>
        <w:t>CEU’s may be received by attending programs or conferences developed by the Department, other rights-related organizations, organizations that have applied to the Office of Recipient Rights Education, Training and Compliance Unit for approval of their programs or through online training.</w:t>
      </w:r>
    </w:p>
    <w:p w14:paraId="28614D1C" w14:textId="77777777" w:rsidR="00C55EB0" w:rsidRPr="00C55EB0" w:rsidRDefault="006B79DD" w:rsidP="00886942">
      <w:pPr>
        <w:pStyle w:val="ListParagraph"/>
        <w:numPr>
          <w:ilvl w:val="1"/>
          <w:numId w:val="1"/>
        </w:numPr>
        <w:spacing w:after="120"/>
        <w:contextualSpacing w:val="0"/>
        <w:jc w:val="both"/>
        <w:rPr>
          <w:rFonts w:cstheme="minorHAnsi"/>
          <w:b/>
          <w:bCs/>
        </w:rPr>
      </w:pPr>
      <w:r w:rsidRPr="00C55EB0">
        <w:rPr>
          <w:rFonts w:cstheme="minorHAnsi"/>
        </w:rPr>
        <w:t>Recipient Rights staff may request approval for other educational programs by utilizing the established approval process described within this document.</w:t>
      </w:r>
    </w:p>
    <w:p w14:paraId="755D599E" w14:textId="77777777" w:rsidR="00C55EB0" w:rsidRPr="00C55EB0" w:rsidRDefault="006B79DD" w:rsidP="00886942">
      <w:pPr>
        <w:pStyle w:val="ListParagraph"/>
        <w:numPr>
          <w:ilvl w:val="1"/>
          <w:numId w:val="1"/>
        </w:numPr>
        <w:spacing w:after="120"/>
        <w:contextualSpacing w:val="0"/>
        <w:jc w:val="both"/>
        <w:rPr>
          <w:rFonts w:cstheme="minorHAnsi"/>
          <w:b/>
          <w:bCs/>
        </w:rPr>
      </w:pPr>
      <w:r w:rsidRPr="00C55EB0">
        <w:rPr>
          <w:rFonts w:cstheme="minorHAnsi"/>
        </w:rPr>
        <w:t>Recipient Rights staff should retain documentation of meeting the CEU requirements for a</w:t>
      </w:r>
      <w:r w:rsidR="00C55EB0">
        <w:rPr>
          <w:rFonts w:cstheme="minorHAnsi"/>
        </w:rPr>
        <w:t xml:space="preserve"> </w:t>
      </w:r>
      <w:r w:rsidRPr="00C55EB0">
        <w:rPr>
          <w:rFonts w:cstheme="minorHAnsi"/>
        </w:rPr>
        <w:t>period of four (4) years from the date of attendance. It is suggested that the following information be kept on file:</w:t>
      </w:r>
    </w:p>
    <w:p w14:paraId="102D86FA" w14:textId="77777777" w:rsidR="00C55EB0" w:rsidRPr="00C55EB0" w:rsidRDefault="006B79DD" w:rsidP="00886942">
      <w:pPr>
        <w:pStyle w:val="ListParagraph"/>
        <w:numPr>
          <w:ilvl w:val="2"/>
          <w:numId w:val="1"/>
        </w:numPr>
        <w:spacing w:after="120"/>
        <w:contextualSpacing w:val="0"/>
        <w:jc w:val="both"/>
        <w:rPr>
          <w:rFonts w:cstheme="minorHAnsi"/>
          <w:b/>
          <w:bCs/>
        </w:rPr>
      </w:pPr>
      <w:r w:rsidRPr="00C55EB0">
        <w:rPr>
          <w:rFonts w:cstheme="minorHAnsi"/>
        </w:rPr>
        <w:t>The title of the course or program and any identification number assigned to it by the MDHHS ORR Education, Training, and Compliance Unit.</w:t>
      </w:r>
    </w:p>
    <w:p w14:paraId="47D930C5" w14:textId="77777777" w:rsidR="00C55EB0" w:rsidRPr="00C55EB0" w:rsidRDefault="006B79DD" w:rsidP="00886942">
      <w:pPr>
        <w:pStyle w:val="ListParagraph"/>
        <w:numPr>
          <w:ilvl w:val="2"/>
          <w:numId w:val="1"/>
        </w:numPr>
        <w:spacing w:after="120"/>
        <w:contextualSpacing w:val="0"/>
        <w:jc w:val="both"/>
        <w:rPr>
          <w:rFonts w:cstheme="minorHAnsi"/>
          <w:b/>
          <w:bCs/>
        </w:rPr>
      </w:pPr>
      <w:r w:rsidRPr="00C55EB0">
        <w:rPr>
          <w:rFonts w:cstheme="minorHAnsi"/>
        </w:rPr>
        <w:t>The number of CEU hours completed.</w:t>
      </w:r>
    </w:p>
    <w:p w14:paraId="0FB258F0" w14:textId="77777777" w:rsidR="00C55EB0" w:rsidRPr="00C55EB0" w:rsidRDefault="006B79DD" w:rsidP="00886942">
      <w:pPr>
        <w:pStyle w:val="ListParagraph"/>
        <w:numPr>
          <w:ilvl w:val="2"/>
          <w:numId w:val="1"/>
        </w:numPr>
        <w:spacing w:after="120"/>
        <w:contextualSpacing w:val="0"/>
        <w:jc w:val="both"/>
        <w:rPr>
          <w:rFonts w:cstheme="minorHAnsi"/>
          <w:b/>
          <w:bCs/>
        </w:rPr>
      </w:pPr>
      <w:r w:rsidRPr="00C55EB0">
        <w:rPr>
          <w:rFonts w:cstheme="minorHAnsi"/>
        </w:rPr>
        <w:t>The provider's name.</w:t>
      </w:r>
    </w:p>
    <w:p w14:paraId="0B0E63CB" w14:textId="77777777" w:rsidR="00C55EB0" w:rsidRPr="00C55EB0" w:rsidRDefault="006B79DD" w:rsidP="00886942">
      <w:pPr>
        <w:pStyle w:val="ListParagraph"/>
        <w:numPr>
          <w:ilvl w:val="2"/>
          <w:numId w:val="1"/>
        </w:numPr>
        <w:spacing w:after="120"/>
        <w:contextualSpacing w:val="0"/>
        <w:jc w:val="both"/>
        <w:rPr>
          <w:rFonts w:cstheme="minorHAnsi"/>
          <w:b/>
          <w:bCs/>
        </w:rPr>
      </w:pPr>
      <w:r w:rsidRPr="00C55EB0">
        <w:rPr>
          <w:rFonts w:cstheme="minorHAnsi"/>
        </w:rPr>
        <w:t>Verification of attendance by the provider.</w:t>
      </w:r>
    </w:p>
    <w:p w14:paraId="1101281F" w14:textId="77777777" w:rsidR="00C55EB0" w:rsidRPr="00C55EB0" w:rsidRDefault="006B79DD" w:rsidP="00886942">
      <w:pPr>
        <w:pStyle w:val="ListParagraph"/>
        <w:numPr>
          <w:ilvl w:val="2"/>
          <w:numId w:val="1"/>
        </w:numPr>
        <w:spacing w:after="120"/>
        <w:contextualSpacing w:val="0"/>
        <w:jc w:val="both"/>
        <w:rPr>
          <w:rFonts w:cstheme="minorHAnsi"/>
          <w:b/>
          <w:bCs/>
        </w:rPr>
      </w:pPr>
      <w:r w:rsidRPr="00C55EB0">
        <w:rPr>
          <w:rFonts w:cstheme="minorHAnsi"/>
        </w:rPr>
        <w:t>The date and location of the course.</w:t>
      </w:r>
    </w:p>
    <w:p w14:paraId="2B2E6CE2" w14:textId="77777777" w:rsidR="00C55EB0" w:rsidRPr="00C55EB0" w:rsidRDefault="006B79DD" w:rsidP="00886942">
      <w:pPr>
        <w:pStyle w:val="ListParagraph"/>
        <w:numPr>
          <w:ilvl w:val="1"/>
          <w:numId w:val="1"/>
        </w:numPr>
        <w:spacing w:after="120"/>
        <w:contextualSpacing w:val="0"/>
        <w:jc w:val="both"/>
        <w:rPr>
          <w:rFonts w:cstheme="minorHAnsi"/>
          <w:b/>
          <w:bCs/>
        </w:rPr>
      </w:pPr>
      <w:r w:rsidRPr="00C55EB0">
        <w:rPr>
          <w:rFonts w:cstheme="minorHAnsi"/>
        </w:rPr>
        <w:t>Reviews will be conducted by the MDHHS Office of Recipient Rights staff at each assessment of a recipient rights program to determine if all rights staff have met both the basic and continuing education requirements.</w:t>
      </w:r>
    </w:p>
    <w:p w14:paraId="46190FF4" w14:textId="77777777" w:rsidR="00C55EB0" w:rsidRPr="00C55EB0" w:rsidRDefault="006B79DD" w:rsidP="00886942">
      <w:pPr>
        <w:pStyle w:val="ListParagraph"/>
        <w:numPr>
          <w:ilvl w:val="1"/>
          <w:numId w:val="1"/>
        </w:numPr>
        <w:spacing w:after="120"/>
        <w:contextualSpacing w:val="0"/>
        <w:jc w:val="both"/>
        <w:rPr>
          <w:rFonts w:cstheme="minorHAnsi"/>
          <w:b/>
          <w:bCs/>
        </w:rPr>
      </w:pPr>
      <w:r w:rsidRPr="00C55EB0">
        <w:rPr>
          <w:rFonts w:cstheme="minorHAnsi"/>
        </w:rPr>
        <w:t>CMHSPs who contract with Licensed Private Hospitals/Units shall mandate compliance with the standards in this Technical Requirement by the Recipient Rights Office staff of those entities.</w:t>
      </w:r>
    </w:p>
    <w:p w14:paraId="758CC5AA" w14:textId="77777777" w:rsidR="00C55EB0" w:rsidRPr="00C55EB0" w:rsidRDefault="006B79DD" w:rsidP="00886942">
      <w:pPr>
        <w:pStyle w:val="ListParagraph"/>
        <w:numPr>
          <w:ilvl w:val="0"/>
          <w:numId w:val="1"/>
        </w:numPr>
        <w:spacing w:after="120"/>
        <w:contextualSpacing w:val="0"/>
        <w:jc w:val="both"/>
        <w:rPr>
          <w:rFonts w:cstheme="minorHAnsi"/>
          <w:b/>
          <w:bCs/>
        </w:rPr>
      </w:pPr>
      <w:r w:rsidRPr="00C55EB0">
        <w:rPr>
          <w:rFonts w:cstheme="minorHAnsi"/>
        </w:rPr>
        <w:t>Procedures for Training Approval</w:t>
      </w:r>
    </w:p>
    <w:p w14:paraId="328CBA88" w14:textId="77777777" w:rsidR="00C55EB0" w:rsidRPr="00C55EB0" w:rsidRDefault="006B79DD" w:rsidP="00886942">
      <w:pPr>
        <w:pStyle w:val="ListParagraph"/>
        <w:numPr>
          <w:ilvl w:val="1"/>
          <w:numId w:val="1"/>
        </w:numPr>
        <w:spacing w:after="120"/>
        <w:contextualSpacing w:val="0"/>
        <w:jc w:val="both"/>
        <w:rPr>
          <w:rFonts w:cstheme="minorHAnsi"/>
          <w:b/>
          <w:bCs/>
        </w:rPr>
      </w:pPr>
      <w:r w:rsidRPr="00C55EB0">
        <w:rPr>
          <w:rFonts w:cstheme="minorHAnsi"/>
        </w:rPr>
        <w:t>Training that is automatically approved for CEU credits:</w:t>
      </w:r>
    </w:p>
    <w:p w14:paraId="707978E5" w14:textId="77777777" w:rsidR="00C55EB0" w:rsidRPr="00C55EB0" w:rsidRDefault="006B79DD" w:rsidP="00886942">
      <w:pPr>
        <w:pStyle w:val="ListParagraph"/>
        <w:numPr>
          <w:ilvl w:val="2"/>
          <w:numId w:val="1"/>
        </w:numPr>
        <w:spacing w:after="120"/>
        <w:contextualSpacing w:val="0"/>
        <w:jc w:val="both"/>
        <w:rPr>
          <w:rFonts w:cstheme="minorHAnsi"/>
          <w:b/>
          <w:bCs/>
        </w:rPr>
      </w:pPr>
      <w:r w:rsidRPr="00C55EB0">
        <w:rPr>
          <w:rFonts w:cstheme="minorHAnsi"/>
        </w:rPr>
        <w:t>MDHHS ORR training excluding Basic Skills</w:t>
      </w:r>
    </w:p>
    <w:p w14:paraId="1669C8DD" w14:textId="734B7590" w:rsidR="00C55EB0" w:rsidRPr="00C55EB0" w:rsidRDefault="006B79DD" w:rsidP="00886942">
      <w:pPr>
        <w:pStyle w:val="ListParagraph"/>
        <w:numPr>
          <w:ilvl w:val="2"/>
          <w:numId w:val="1"/>
        </w:numPr>
        <w:spacing w:after="120"/>
        <w:contextualSpacing w:val="0"/>
        <w:jc w:val="both"/>
        <w:rPr>
          <w:rFonts w:cstheme="minorHAnsi"/>
          <w:b/>
          <w:bCs/>
        </w:rPr>
      </w:pPr>
      <w:r w:rsidRPr="00C55EB0">
        <w:rPr>
          <w:rFonts w:cstheme="minorHAnsi"/>
        </w:rPr>
        <w:t>All sessions at the MDHHS-ORR Annual Conference, including the Pre-Conference session</w:t>
      </w:r>
      <w:r w:rsidR="00C55EB0">
        <w:rPr>
          <w:rFonts w:cstheme="minorHAnsi"/>
        </w:rPr>
        <w:t>.</w:t>
      </w:r>
    </w:p>
    <w:p w14:paraId="450F1C1D" w14:textId="77777777" w:rsidR="00C55EB0" w:rsidRPr="00C55EB0" w:rsidRDefault="006B79DD" w:rsidP="00886942">
      <w:pPr>
        <w:pStyle w:val="ListParagraph"/>
        <w:numPr>
          <w:ilvl w:val="2"/>
          <w:numId w:val="1"/>
        </w:numPr>
        <w:spacing w:after="120"/>
        <w:contextualSpacing w:val="0"/>
        <w:jc w:val="both"/>
        <w:rPr>
          <w:rFonts w:cstheme="minorHAnsi"/>
          <w:b/>
          <w:bCs/>
        </w:rPr>
      </w:pPr>
      <w:r w:rsidRPr="00C55EB0">
        <w:rPr>
          <w:rFonts w:cstheme="minorHAnsi"/>
        </w:rPr>
        <w:t>Training provided by, or sponsored by, MDHHS Office of Recipient Rights</w:t>
      </w:r>
    </w:p>
    <w:p w14:paraId="32AD0000" w14:textId="77777777" w:rsidR="00C55EB0" w:rsidRPr="00C55EB0" w:rsidRDefault="006B79DD" w:rsidP="00886942">
      <w:pPr>
        <w:pStyle w:val="ListParagraph"/>
        <w:numPr>
          <w:ilvl w:val="1"/>
          <w:numId w:val="1"/>
        </w:numPr>
        <w:spacing w:after="120"/>
        <w:contextualSpacing w:val="0"/>
        <w:jc w:val="both"/>
        <w:rPr>
          <w:rFonts w:cstheme="minorHAnsi"/>
          <w:b/>
          <w:bCs/>
        </w:rPr>
      </w:pPr>
      <w:r w:rsidRPr="00C55EB0">
        <w:rPr>
          <w:rFonts w:cstheme="minorHAnsi"/>
        </w:rPr>
        <w:t>Training that may be approved for CEU credits, if meeting the criteria above and with the submission of the necessary documents by the applicant:</w:t>
      </w:r>
    </w:p>
    <w:p w14:paraId="1F75572B" w14:textId="77777777" w:rsidR="00C55EB0" w:rsidRPr="00C55EB0" w:rsidRDefault="006B79DD" w:rsidP="00886942">
      <w:pPr>
        <w:pStyle w:val="ListParagraph"/>
        <w:numPr>
          <w:ilvl w:val="2"/>
          <w:numId w:val="1"/>
        </w:numPr>
        <w:spacing w:after="120"/>
        <w:contextualSpacing w:val="0"/>
        <w:jc w:val="both"/>
        <w:rPr>
          <w:rFonts w:cstheme="minorHAnsi"/>
          <w:b/>
          <w:bCs/>
        </w:rPr>
      </w:pPr>
      <w:r w:rsidRPr="00C55EB0">
        <w:rPr>
          <w:rFonts w:cstheme="minorHAnsi"/>
        </w:rPr>
        <w:t>ROAM sponsored training</w:t>
      </w:r>
    </w:p>
    <w:p w14:paraId="264FAAB8" w14:textId="77777777" w:rsidR="00C55EB0" w:rsidRPr="00C55EB0" w:rsidRDefault="006B79DD" w:rsidP="00886942">
      <w:pPr>
        <w:pStyle w:val="ListParagraph"/>
        <w:numPr>
          <w:ilvl w:val="2"/>
          <w:numId w:val="1"/>
        </w:numPr>
        <w:spacing w:after="120"/>
        <w:contextualSpacing w:val="0"/>
        <w:jc w:val="both"/>
        <w:rPr>
          <w:rFonts w:cstheme="minorHAnsi"/>
          <w:b/>
          <w:bCs/>
        </w:rPr>
      </w:pPr>
      <w:r w:rsidRPr="00C55EB0">
        <w:rPr>
          <w:rFonts w:cstheme="minorHAnsi"/>
        </w:rPr>
        <w:t>CMH/LPH/U sponsored training</w:t>
      </w:r>
    </w:p>
    <w:p w14:paraId="1BFE7C67" w14:textId="77777777" w:rsidR="00C55EB0" w:rsidRPr="00C55EB0" w:rsidRDefault="006B79DD" w:rsidP="00886942">
      <w:pPr>
        <w:pStyle w:val="ListParagraph"/>
        <w:numPr>
          <w:ilvl w:val="2"/>
          <w:numId w:val="1"/>
        </w:numPr>
        <w:spacing w:after="120"/>
        <w:contextualSpacing w:val="0"/>
        <w:jc w:val="both"/>
        <w:rPr>
          <w:rFonts w:cstheme="minorHAnsi"/>
          <w:b/>
          <w:bCs/>
        </w:rPr>
      </w:pPr>
      <w:r w:rsidRPr="00C55EB0">
        <w:rPr>
          <w:rFonts w:cstheme="minorHAnsi"/>
        </w:rPr>
        <w:t>Training provided by other agencies, entities, professionals, accreditation bodies, risk management, corporation counsel/lawyer, etc.</w:t>
      </w:r>
    </w:p>
    <w:p w14:paraId="30D3317D" w14:textId="77777777" w:rsidR="00C55EB0" w:rsidRPr="00C55EB0" w:rsidRDefault="006B79DD" w:rsidP="00886942">
      <w:pPr>
        <w:pStyle w:val="ListParagraph"/>
        <w:numPr>
          <w:ilvl w:val="2"/>
          <w:numId w:val="1"/>
        </w:numPr>
        <w:spacing w:after="120"/>
        <w:contextualSpacing w:val="0"/>
        <w:jc w:val="both"/>
        <w:rPr>
          <w:rFonts w:cstheme="minorHAnsi"/>
          <w:b/>
          <w:bCs/>
        </w:rPr>
      </w:pPr>
      <w:r w:rsidRPr="00C55EB0">
        <w:rPr>
          <w:rFonts w:cstheme="minorHAnsi"/>
        </w:rPr>
        <w:t>Training provided to the Rights Officer/Advisor for their profession’s licensure.</w:t>
      </w:r>
    </w:p>
    <w:p w14:paraId="1BDEEC67" w14:textId="77777777" w:rsidR="00C55EB0" w:rsidRPr="00C55EB0" w:rsidRDefault="006B79DD" w:rsidP="00886942">
      <w:pPr>
        <w:pStyle w:val="ListParagraph"/>
        <w:numPr>
          <w:ilvl w:val="2"/>
          <w:numId w:val="1"/>
        </w:numPr>
        <w:spacing w:after="120"/>
        <w:contextualSpacing w:val="0"/>
        <w:jc w:val="both"/>
        <w:rPr>
          <w:rFonts w:cstheme="minorHAnsi"/>
          <w:b/>
          <w:bCs/>
        </w:rPr>
      </w:pPr>
      <w:r w:rsidRPr="00C55EB0">
        <w:rPr>
          <w:rFonts w:cstheme="minorHAnsi"/>
        </w:rPr>
        <w:t>Other training in the community at large, including on-line training, if requirements as detailed above are met.</w:t>
      </w:r>
    </w:p>
    <w:p w14:paraId="7DCFA76E" w14:textId="77777777" w:rsidR="00C55EB0" w:rsidRPr="00C55EB0" w:rsidRDefault="006B79DD" w:rsidP="00886942">
      <w:pPr>
        <w:pStyle w:val="ListParagraph"/>
        <w:numPr>
          <w:ilvl w:val="1"/>
          <w:numId w:val="1"/>
        </w:numPr>
        <w:spacing w:after="120"/>
        <w:contextualSpacing w:val="0"/>
        <w:jc w:val="both"/>
        <w:rPr>
          <w:rFonts w:cstheme="minorHAnsi"/>
          <w:b/>
          <w:bCs/>
        </w:rPr>
      </w:pPr>
      <w:r w:rsidRPr="00C55EB0">
        <w:rPr>
          <w:rFonts w:cstheme="minorHAnsi"/>
        </w:rPr>
        <w:t>CEU Documentation and Notification</w:t>
      </w:r>
    </w:p>
    <w:p w14:paraId="581C7A9D" w14:textId="77777777" w:rsidR="00C55EB0" w:rsidRPr="00C55EB0" w:rsidRDefault="006B79DD" w:rsidP="00886942">
      <w:pPr>
        <w:pStyle w:val="ListParagraph"/>
        <w:numPr>
          <w:ilvl w:val="2"/>
          <w:numId w:val="1"/>
        </w:numPr>
        <w:spacing w:after="120"/>
        <w:contextualSpacing w:val="0"/>
        <w:jc w:val="both"/>
        <w:rPr>
          <w:rFonts w:cstheme="minorHAnsi"/>
          <w:b/>
          <w:bCs/>
        </w:rPr>
      </w:pPr>
      <w:r w:rsidRPr="00C55EB0">
        <w:rPr>
          <w:rFonts w:cstheme="minorHAnsi"/>
        </w:rPr>
        <w:t>Application</w:t>
      </w:r>
    </w:p>
    <w:p w14:paraId="0C336680" w14:textId="77777777" w:rsidR="00C55EB0" w:rsidRDefault="006B79DD" w:rsidP="00886942">
      <w:pPr>
        <w:pStyle w:val="ListParagraph"/>
        <w:spacing w:after="120"/>
        <w:ind w:left="1800"/>
        <w:contextualSpacing w:val="0"/>
        <w:jc w:val="both"/>
        <w:rPr>
          <w:rFonts w:cstheme="minorHAnsi"/>
        </w:rPr>
      </w:pPr>
      <w:r w:rsidRPr="00C55EB0">
        <w:rPr>
          <w:rFonts w:cstheme="minorHAnsi"/>
        </w:rPr>
        <w:t xml:space="preserve">To apply for CEU credits for a training, complete the MDHHS ORR Continuing Education Course Summary (Exhibit A) form and send by email, </w:t>
      </w:r>
      <w:proofErr w:type="gramStart"/>
      <w:r w:rsidRPr="00C55EB0">
        <w:rPr>
          <w:rFonts w:cstheme="minorHAnsi"/>
        </w:rPr>
        <w:t>mail</w:t>
      </w:r>
      <w:proofErr w:type="gramEnd"/>
      <w:r w:rsidRPr="00C55EB0">
        <w:rPr>
          <w:rFonts w:cstheme="minorHAnsi"/>
        </w:rPr>
        <w:t xml:space="preserve"> or FAX, within 30 calendar days of the event to:</w:t>
      </w:r>
    </w:p>
    <w:p w14:paraId="69C1FA4C" w14:textId="77777777" w:rsidR="00C55EB0" w:rsidRDefault="00C55EB0" w:rsidP="00886942">
      <w:pPr>
        <w:pStyle w:val="ListParagraph"/>
        <w:spacing w:after="120"/>
        <w:ind w:left="1800"/>
        <w:contextualSpacing w:val="0"/>
        <w:jc w:val="center"/>
        <w:rPr>
          <w:rFonts w:cstheme="minorHAnsi"/>
        </w:rPr>
      </w:pPr>
      <w:r w:rsidRPr="00C55EB0">
        <w:rPr>
          <w:rFonts w:cstheme="minorHAnsi"/>
        </w:rPr>
        <w:t>MDHHS ORR Education, Training, and Compliance Unit</w:t>
      </w:r>
    </w:p>
    <w:p w14:paraId="2A9139ED" w14:textId="77777777" w:rsidR="00C55EB0" w:rsidRDefault="00C55EB0" w:rsidP="00886942">
      <w:pPr>
        <w:pStyle w:val="ListParagraph"/>
        <w:spacing w:after="120"/>
        <w:ind w:left="1800"/>
        <w:contextualSpacing w:val="0"/>
        <w:jc w:val="center"/>
        <w:rPr>
          <w:rFonts w:cstheme="minorHAnsi"/>
        </w:rPr>
      </w:pPr>
      <w:r w:rsidRPr="00C55EB0">
        <w:rPr>
          <w:rFonts w:cstheme="minorHAnsi"/>
        </w:rPr>
        <w:t>18471 Haggerty Road</w:t>
      </w:r>
    </w:p>
    <w:p w14:paraId="0FFDEEB3" w14:textId="77777777" w:rsidR="00C55EB0" w:rsidRDefault="00C55EB0" w:rsidP="00886942">
      <w:pPr>
        <w:pStyle w:val="ListParagraph"/>
        <w:spacing w:after="120"/>
        <w:ind w:left="1800"/>
        <w:contextualSpacing w:val="0"/>
        <w:jc w:val="center"/>
        <w:rPr>
          <w:rFonts w:cstheme="minorHAnsi"/>
        </w:rPr>
      </w:pPr>
      <w:r w:rsidRPr="00C55EB0">
        <w:rPr>
          <w:rFonts w:cstheme="minorHAnsi"/>
        </w:rPr>
        <w:t>Northville, MI 48168</w:t>
      </w:r>
    </w:p>
    <w:p w14:paraId="1CD0F1E5" w14:textId="77777777" w:rsidR="00C55EB0" w:rsidRDefault="00C55EB0" w:rsidP="00886942">
      <w:pPr>
        <w:pStyle w:val="ListParagraph"/>
        <w:spacing w:after="120"/>
        <w:ind w:left="1800"/>
        <w:contextualSpacing w:val="0"/>
        <w:jc w:val="center"/>
        <w:rPr>
          <w:rFonts w:cstheme="minorHAnsi"/>
        </w:rPr>
      </w:pPr>
      <w:r w:rsidRPr="00C55EB0">
        <w:rPr>
          <w:rFonts w:cstheme="minorHAnsi"/>
        </w:rPr>
        <w:t>Fax: (248) 348- 9963</w:t>
      </w:r>
    </w:p>
    <w:p w14:paraId="6E68786C" w14:textId="174B7E2F" w:rsidR="00C55EB0" w:rsidRPr="00C55EB0" w:rsidRDefault="00C55EB0" w:rsidP="00886942">
      <w:pPr>
        <w:pStyle w:val="ListParagraph"/>
        <w:spacing w:after="120"/>
        <w:ind w:left="1800"/>
        <w:contextualSpacing w:val="0"/>
        <w:jc w:val="center"/>
        <w:rPr>
          <w:rFonts w:cstheme="minorHAnsi"/>
          <w:b/>
          <w:bCs/>
        </w:rPr>
      </w:pPr>
      <w:r w:rsidRPr="00C55EB0">
        <w:rPr>
          <w:rFonts w:cstheme="minorHAnsi"/>
        </w:rPr>
        <w:t xml:space="preserve">Email: </w:t>
      </w:r>
      <w:hyperlink r:id="rId9" w:history="1">
        <w:r w:rsidRPr="00C55EB0">
          <w:rPr>
            <w:rStyle w:val="Hyperlink"/>
            <w:rFonts w:cstheme="minorHAnsi"/>
          </w:rPr>
          <w:t>MDHHS-ORR-Training@michigan.gov</w:t>
        </w:r>
      </w:hyperlink>
    </w:p>
    <w:p w14:paraId="4B2A5D25" w14:textId="77777777" w:rsidR="00C55EB0" w:rsidRPr="00C55EB0" w:rsidRDefault="00C55EB0" w:rsidP="00886942">
      <w:pPr>
        <w:pStyle w:val="ListParagraph"/>
        <w:numPr>
          <w:ilvl w:val="2"/>
          <w:numId w:val="1"/>
        </w:numPr>
        <w:spacing w:after="120"/>
        <w:contextualSpacing w:val="0"/>
        <w:jc w:val="both"/>
        <w:rPr>
          <w:rFonts w:cstheme="minorHAnsi"/>
          <w:b/>
          <w:bCs/>
        </w:rPr>
      </w:pPr>
      <w:r w:rsidRPr="006B79DD">
        <w:rPr>
          <w:rFonts w:cstheme="minorHAnsi"/>
        </w:rPr>
        <w:t>Verification of attendance.</w:t>
      </w:r>
    </w:p>
    <w:p w14:paraId="02FE35C1" w14:textId="77777777" w:rsidR="00C55EB0" w:rsidRPr="00C55EB0" w:rsidRDefault="006B79DD" w:rsidP="00886942">
      <w:pPr>
        <w:pStyle w:val="ListParagraph"/>
        <w:spacing w:after="120"/>
        <w:ind w:left="1800"/>
        <w:contextualSpacing w:val="0"/>
        <w:jc w:val="both"/>
        <w:rPr>
          <w:rFonts w:cstheme="minorHAnsi"/>
          <w:b/>
          <w:bCs/>
        </w:rPr>
      </w:pPr>
      <w:r w:rsidRPr="00C55EB0">
        <w:rPr>
          <w:rFonts w:cstheme="minorHAnsi"/>
        </w:rPr>
        <w:t>Attendance can be verified through provision of a Certificate of Attendance, copies of a training record, copy of an attendance/sign in sheet, a copy of the training agenda or outline with a self-attestation statement that the applicant did attend the training. Verification of attendance shall be kept on file with the applicant and be readily available for review by MDHHS-ORR, if requested.</w:t>
      </w:r>
    </w:p>
    <w:p w14:paraId="05388EB3" w14:textId="77777777" w:rsidR="00C55EB0" w:rsidRPr="00C55EB0" w:rsidRDefault="006B79DD" w:rsidP="00886942">
      <w:pPr>
        <w:pStyle w:val="ListParagraph"/>
        <w:numPr>
          <w:ilvl w:val="2"/>
          <w:numId w:val="1"/>
        </w:numPr>
        <w:spacing w:after="120"/>
        <w:contextualSpacing w:val="0"/>
        <w:jc w:val="both"/>
        <w:rPr>
          <w:rFonts w:cstheme="minorHAnsi"/>
          <w:b/>
          <w:bCs/>
        </w:rPr>
      </w:pPr>
      <w:r w:rsidRPr="00C55EB0">
        <w:rPr>
          <w:rFonts w:cstheme="minorHAnsi"/>
        </w:rPr>
        <w:t>Notification</w:t>
      </w:r>
    </w:p>
    <w:p w14:paraId="30713EF9" w14:textId="77777777" w:rsidR="00C55EB0" w:rsidRPr="00C55EB0" w:rsidRDefault="006B79DD" w:rsidP="00886942">
      <w:pPr>
        <w:pStyle w:val="ListParagraph"/>
        <w:spacing w:after="120"/>
        <w:ind w:left="1800"/>
        <w:contextualSpacing w:val="0"/>
        <w:jc w:val="both"/>
        <w:rPr>
          <w:rFonts w:cstheme="minorHAnsi"/>
          <w:b/>
          <w:bCs/>
        </w:rPr>
      </w:pPr>
      <w:r w:rsidRPr="00C55EB0">
        <w:rPr>
          <w:rFonts w:cstheme="minorHAnsi"/>
        </w:rPr>
        <w:t>Applicants will receive notification of approval determination for CEU credits no later than 30 business days following receipt of the required documents. Approved courses, credit and category information will be posted on the ORR website.</w:t>
      </w:r>
    </w:p>
    <w:p w14:paraId="02A5D98C" w14:textId="77777777" w:rsidR="00C55EB0" w:rsidRPr="00C55EB0" w:rsidRDefault="006B79DD" w:rsidP="00886942">
      <w:pPr>
        <w:pStyle w:val="ListParagraph"/>
        <w:numPr>
          <w:ilvl w:val="2"/>
          <w:numId w:val="1"/>
        </w:numPr>
        <w:spacing w:after="120"/>
        <w:contextualSpacing w:val="0"/>
        <w:jc w:val="both"/>
        <w:rPr>
          <w:rFonts w:cstheme="minorHAnsi"/>
          <w:b/>
          <w:bCs/>
        </w:rPr>
      </w:pPr>
      <w:r w:rsidRPr="00C55EB0">
        <w:rPr>
          <w:rFonts w:cstheme="minorHAnsi"/>
        </w:rPr>
        <w:t>Application Review, Approval and Appeal</w:t>
      </w:r>
    </w:p>
    <w:p w14:paraId="39BA6465" w14:textId="6C9747AE" w:rsidR="00B7670D" w:rsidRDefault="006B79DD" w:rsidP="00886942">
      <w:pPr>
        <w:pStyle w:val="ListParagraph"/>
        <w:spacing w:after="120"/>
        <w:ind w:left="1800"/>
        <w:contextualSpacing w:val="0"/>
        <w:jc w:val="both"/>
        <w:rPr>
          <w:rFonts w:cstheme="minorHAnsi"/>
        </w:rPr>
      </w:pPr>
      <w:r w:rsidRPr="00C55EB0">
        <w:rPr>
          <w:rFonts w:cstheme="minorHAnsi"/>
        </w:rPr>
        <w:t xml:space="preserve">Applications from organizations outside the Department, or applications from individuals who have attended, or plan to attend, training programs shall be reviewed and approved or rejected by the Continuing Education Committee. If an application is rejected by the Continuing Education </w:t>
      </w:r>
      <w:proofErr w:type="gramStart"/>
      <w:r w:rsidRPr="00C55EB0">
        <w:rPr>
          <w:rFonts w:cstheme="minorHAnsi"/>
        </w:rPr>
        <w:t>Committee</w:t>
      </w:r>
      <w:proofErr w:type="gramEnd"/>
      <w:r w:rsidRPr="00C55EB0">
        <w:rPr>
          <w:rFonts w:cstheme="minorHAnsi"/>
        </w:rPr>
        <w:t xml:space="preserve"> it may be appealed to the director of the Office of Recipient Rights. The decision of the Director of ORR is the final MDHHS position on the application.</w:t>
      </w:r>
    </w:p>
    <w:p w14:paraId="7192128E" w14:textId="61464316" w:rsidR="00C55EB0" w:rsidRDefault="00C55EB0">
      <w:pPr>
        <w:rPr>
          <w:rFonts w:cstheme="minorHAnsi"/>
          <w:b/>
          <w:bCs/>
        </w:rPr>
      </w:pPr>
      <w:r>
        <w:rPr>
          <w:rFonts w:cstheme="minorHAnsi"/>
          <w:b/>
          <w:bCs/>
        </w:rPr>
        <w:br w:type="page"/>
      </w:r>
    </w:p>
    <w:p w14:paraId="518C6BBB" w14:textId="684A14A4" w:rsidR="00C55EB0" w:rsidRPr="00C55EB0" w:rsidRDefault="00C55EB0" w:rsidP="00C55EB0">
      <w:pPr>
        <w:jc w:val="center"/>
        <w:rPr>
          <w:rFonts w:cstheme="minorHAnsi"/>
          <w:b/>
          <w:bCs/>
        </w:rPr>
      </w:pPr>
      <w:r w:rsidRPr="00C55EB0">
        <w:rPr>
          <w:rFonts w:cstheme="minorHAnsi"/>
          <w:b/>
          <w:bCs/>
        </w:rPr>
        <w:t>Exhibit A: APPLICATION FOR RECIPIENT RIGHTS CEU CREDIT</w:t>
      </w:r>
    </w:p>
    <w:p w14:paraId="130DB915" w14:textId="77777777" w:rsidR="00C55EB0" w:rsidRPr="00C55EB0" w:rsidRDefault="00C55EB0" w:rsidP="00C55EB0">
      <w:pPr>
        <w:jc w:val="center"/>
        <w:rPr>
          <w:rFonts w:cstheme="minorHAnsi"/>
          <w:b/>
          <w:bCs/>
        </w:rPr>
      </w:pPr>
      <w:r w:rsidRPr="00C55EB0">
        <w:rPr>
          <w:rFonts w:cstheme="minorHAnsi"/>
          <w:b/>
          <w:bCs/>
        </w:rPr>
        <w:t>OFFICE OF RECIPIENT RIGHTS</w:t>
      </w:r>
    </w:p>
    <w:p w14:paraId="5F888080" w14:textId="10820D6F" w:rsidR="00C55EB0" w:rsidRDefault="00C55EB0" w:rsidP="00C55EB0">
      <w:pPr>
        <w:jc w:val="center"/>
        <w:rPr>
          <w:rFonts w:cstheme="minorHAnsi"/>
          <w:b/>
          <w:bCs/>
        </w:rPr>
      </w:pPr>
      <w:r w:rsidRPr="00C55EB0">
        <w:rPr>
          <w:rFonts w:cstheme="minorHAnsi"/>
          <w:b/>
          <w:bCs/>
        </w:rPr>
        <w:t>APPLICATION FOR RECIPIENT RIGHTS CEU CREDIT</w:t>
      </w:r>
    </w:p>
    <w:p w14:paraId="28A064BB" w14:textId="77777777" w:rsidR="00820689" w:rsidRDefault="00820689" w:rsidP="00820689">
      <w:pPr>
        <w:rPr>
          <w:rFonts w:cstheme="minorHAnsi"/>
          <w:b/>
          <w:bCs/>
        </w:rPr>
      </w:pPr>
    </w:p>
    <w:tbl>
      <w:tblPr>
        <w:tblStyle w:val="TableGrid"/>
        <w:tblW w:w="0" w:type="auto"/>
        <w:tblInd w:w="-95" w:type="dxa"/>
        <w:tblLook w:val="04A0" w:firstRow="1" w:lastRow="0" w:firstColumn="1" w:lastColumn="0" w:noHBand="0" w:noVBand="1"/>
      </w:tblPr>
      <w:tblGrid>
        <w:gridCol w:w="2160"/>
        <w:gridCol w:w="540"/>
        <w:gridCol w:w="1281"/>
        <w:gridCol w:w="1821"/>
        <w:gridCol w:w="1821"/>
        <w:gridCol w:w="297"/>
        <w:gridCol w:w="1525"/>
      </w:tblGrid>
      <w:tr w:rsidR="00820689" w14:paraId="46F42E57" w14:textId="77777777" w:rsidTr="00A448C7">
        <w:tc>
          <w:tcPr>
            <w:tcW w:w="2160" w:type="dxa"/>
            <w:vAlign w:val="center"/>
          </w:tcPr>
          <w:p w14:paraId="030B2328" w14:textId="77777777" w:rsidR="00820689" w:rsidRPr="004208C7" w:rsidRDefault="00820689" w:rsidP="00A448C7">
            <w:pPr>
              <w:pStyle w:val="TableParagraph"/>
              <w:spacing w:before="120" w:line="264" w:lineRule="exact"/>
              <w:ind w:left="0"/>
              <w:rPr>
                <w:rFonts w:asciiTheme="minorHAnsi" w:hAnsiTheme="minorHAnsi" w:cstheme="minorHAnsi"/>
                <w:b/>
              </w:rPr>
            </w:pPr>
            <w:r w:rsidRPr="004208C7">
              <w:rPr>
                <w:rFonts w:asciiTheme="minorHAnsi" w:hAnsiTheme="minorHAnsi" w:cstheme="minorHAnsi"/>
                <w:b/>
                <w:color w:val="221F1F"/>
              </w:rPr>
              <w:t>APPLICANT</w:t>
            </w:r>
          </w:p>
          <w:p w14:paraId="17F3FCE4" w14:textId="5D505A52" w:rsidR="00820689" w:rsidRDefault="00820689" w:rsidP="00A448C7">
            <w:pPr>
              <w:spacing w:after="120"/>
              <w:rPr>
                <w:rFonts w:cstheme="minorHAnsi"/>
                <w:b/>
                <w:bCs/>
              </w:rPr>
            </w:pPr>
            <w:r w:rsidRPr="004208C7">
              <w:rPr>
                <w:rFonts w:cstheme="minorHAnsi"/>
                <w:color w:val="221F1F"/>
              </w:rPr>
              <w:t>(ORGANIZATION OR INDIVIDUAL)</w:t>
            </w:r>
          </w:p>
        </w:tc>
        <w:tc>
          <w:tcPr>
            <w:tcW w:w="7285" w:type="dxa"/>
            <w:gridSpan w:val="6"/>
          </w:tcPr>
          <w:p w14:paraId="6D789B8C" w14:textId="77777777" w:rsidR="00820689" w:rsidRDefault="00820689" w:rsidP="00820689">
            <w:pPr>
              <w:spacing w:before="120" w:after="120"/>
              <w:rPr>
                <w:rFonts w:cstheme="minorHAnsi"/>
                <w:b/>
                <w:bCs/>
              </w:rPr>
            </w:pPr>
          </w:p>
        </w:tc>
      </w:tr>
      <w:tr w:rsidR="00820689" w14:paraId="3493CD91" w14:textId="77777777" w:rsidTr="00A448C7">
        <w:tc>
          <w:tcPr>
            <w:tcW w:w="2160" w:type="dxa"/>
            <w:vAlign w:val="center"/>
          </w:tcPr>
          <w:p w14:paraId="20A28969" w14:textId="1C73E932" w:rsidR="00820689" w:rsidRDefault="00820689" w:rsidP="00A448C7">
            <w:pPr>
              <w:spacing w:before="120" w:after="120"/>
              <w:rPr>
                <w:rFonts w:cstheme="minorHAnsi"/>
                <w:b/>
                <w:bCs/>
              </w:rPr>
            </w:pPr>
            <w:r w:rsidRPr="004208C7">
              <w:rPr>
                <w:rFonts w:cstheme="minorHAnsi"/>
                <w:b/>
                <w:color w:val="221F1F"/>
              </w:rPr>
              <w:t>APPLICANT’S CONTACT INFORMATION</w:t>
            </w:r>
          </w:p>
        </w:tc>
        <w:tc>
          <w:tcPr>
            <w:tcW w:w="7285" w:type="dxa"/>
            <w:gridSpan w:val="6"/>
          </w:tcPr>
          <w:p w14:paraId="743A6D83" w14:textId="77777777" w:rsidR="00820689" w:rsidRPr="00820689" w:rsidRDefault="00820689" w:rsidP="00820689">
            <w:pPr>
              <w:spacing w:before="120" w:after="120"/>
              <w:rPr>
                <w:rFonts w:cstheme="minorHAnsi"/>
              </w:rPr>
            </w:pPr>
            <w:r w:rsidRPr="00820689">
              <w:rPr>
                <w:rFonts w:cstheme="minorHAnsi"/>
              </w:rPr>
              <w:t>EMAIL:</w:t>
            </w:r>
          </w:p>
          <w:p w14:paraId="0088261E" w14:textId="77777777" w:rsidR="00820689" w:rsidRPr="00820689" w:rsidRDefault="00820689" w:rsidP="00820689">
            <w:pPr>
              <w:spacing w:before="120" w:after="120"/>
              <w:rPr>
                <w:rFonts w:cstheme="minorHAnsi"/>
              </w:rPr>
            </w:pPr>
            <w:r w:rsidRPr="00820689">
              <w:rPr>
                <w:rFonts w:cstheme="minorHAnsi"/>
              </w:rPr>
              <w:t>PHONE:</w:t>
            </w:r>
          </w:p>
          <w:p w14:paraId="022AF331" w14:textId="77777777" w:rsidR="00820689" w:rsidRPr="00820689" w:rsidRDefault="00820689" w:rsidP="00820689">
            <w:pPr>
              <w:spacing w:before="120" w:after="120"/>
              <w:rPr>
                <w:rFonts w:cstheme="minorHAnsi"/>
              </w:rPr>
            </w:pPr>
            <w:r w:rsidRPr="00820689">
              <w:rPr>
                <w:rFonts w:cstheme="minorHAnsi"/>
              </w:rPr>
              <w:t>ADDRESS:</w:t>
            </w:r>
          </w:p>
          <w:p w14:paraId="3D9C69CE" w14:textId="44C04B4F" w:rsidR="00820689" w:rsidRDefault="00820689" w:rsidP="00820689">
            <w:pPr>
              <w:spacing w:before="120" w:after="120"/>
              <w:rPr>
                <w:rFonts w:cstheme="minorHAnsi"/>
                <w:b/>
                <w:bCs/>
              </w:rPr>
            </w:pPr>
            <w:r w:rsidRPr="00820689">
              <w:rPr>
                <w:rFonts w:cstheme="minorHAnsi"/>
              </w:rPr>
              <w:t>CITY/ZIP:</w:t>
            </w:r>
          </w:p>
        </w:tc>
      </w:tr>
      <w:tr w:rsidR="00820689" w14:paraId="091D26B2" w14:textId="77777777" w:rsidTr="00A448C7">
        <w:tc>
          <w:tcPr>
            <w:tcW w:w="2160" w:type="dxa"/>
            <w:vAlign w:val="center"/>
          </w:tcPr>
          <w:p w14:paraId="25420354" w14:textId="65FF196C" w:rsidR="00820689" w:rsidRDefault="00820689" w:rsidP="00A448C7">
            <w:pPr>
              <w:spacing w:before="120" w:after="120"/>
              <w:rPr>
                <w:rFonts w:cstheme="minorHAnsi"/>
                <w:b/>
                <w:bCs/>
              </w:rPr>
            </w:pPr>
            <w:r w:rsidRPr="004208C7">
              <w:rPr>
                <w:rFonts w:cstheme="minorHAnsi"/>
                <w:b/>
                <w:color w:val="221F1F"/>
              </w:rPr>
              <w:t xml:space="preserve">COURSE DATE </w:t>
            </w:r>
          </w:p>
        </w:tc>
        <w:tc>
          <w:tcPr>
            <w:tcW w:w="7285" w:type="dxa"/>
            <w:gridSpan w:val="6"/>
          </w:tcPr>
          <w:p w14:paraId="6BC1E939" w14:textId="77777777" w:rsidR="00820689" w:rsidRDefault="00820689" w:rsidP="00820689">
            <w:pPr>
              <w:spacing w:before="120" w:after="120"/>
              <w:rPr>
                <w:rFonts w:cstheme="minorHAnsi"/>
                <w:b/>
                <w:bCs/>
              </w:rPr>
            </w:pPr>
          </w:p>
        </w:tc>
      </w:tr>
      <w:tr w:rsidR="00820689" w14:paraId="33AEB301" w14:textId="77777777" w:rsidTr="00A448C7">
        <w:tc>
          <w:tcPr>
            <w:tcW w:w="2160" w:type="dxa"/>
            <w:vAlign w:val="center"/>
          </w:tcPr>
          <w:p w14:paraId="3E623F39" w14:textId="067F347B" w:rsidR="00820689" w:rsidRDefault="00820689" w:rsidP="00A448C7">
            <w:pPr>
              <w:spacing w:before="120" w:after="120"/>
              <w:rPr>
                <w:rFonts w:cstheme="minorHAnsi"/>
                <w:b/>
                <w:bCs/>
              </w:rPr>
            </w:pPr>
            <w:r w:rsidRPr="004208C7">
              <w:rPr>
                <w:rFonts w:cstheme="minorHAnsi"/>
                <w:b/>
                <w:color w:val="221F1F"/>
              </w:rPr>
              <w:t>COURSE TITLE</w:t>
            </w:r>
          </w:p>
        </w:tc>
        <w:tc>
          <w:tcPr>
            <w:tcW w:w="7285" w:type="dxa"/>
            <w:gridSpan w:val="6"/>
          </w:tcPr>
          <w:p w14:paraId="2CCC4639" w14:textId="77777777" w:rsidR="00820689" w:rsidRDefault="00820689" w:rsidP="00820689">
            <w:pPr>
              <w:spacing w:before="120" w:after="120"/>
              <w:rPr>
                <w:rFonts w:cstheme="minorHAnsi"/>
                <w:b/>
                <w:bCs/>
              </w:rPr>
            </w:pPr>
          </w:p>
        </w:tc>
      </w:tr>
      <w:tr w:rsidR="00820689" w14:paraId="3AD9C0EF" w14:textId="77777777" w:rsidTr="00A448C7">
        <w:tc>
          <w:tcPr>
            <w:tcW w:w="2160" w:type="dxa"/>
            <w:vAlign w:val="center"/>
          </w:tcPr>
          <w:p w14:paraId="5015ECFA" w14:textId="4AC504D3" w:rsidR="00820689" w:rsidRDefault="00820689" w:rsidP="00A448C7">
            <w:pPr>
              <w:spacing w:before="120" w:after="120"/>
              <w:rPr>
                <w:rFonts w:cstheme="minorHAnsi"/>
                <w:b/>
                <w:bCs/>
              </w:rPr>
            </w:pPr>
            <w:r>
              <w:rPr>
                <w:rFonts w:cstheme="minorHAnsi"/>
                <w:b/>
                <w:color w:val="221F1F"/>
              </w:rPr>
              <w:t xml:space="preserve">COURSE </w:t>
            </w:r>
            <w:r w:rsidRPr="004208C7">
              <w:rPr>
                <w:rFonts w:cstheme="minorHAnsi"/>
                <w:b/>
                <w:color w:val="221F1F"/>
              </w:rPr>
              <w:t>LOCATION</w:t>
            </w:r>
          </w:p>
        </w:tc>
        <w:tc>
          <w:tcPr>
            <w:tcW w:w="7285" w:type="dxa"/>
            <w:gridSpan w:val="6"/>
          </w:tcPr>
          <w:p w14:paraId="2FD288E0" w14:textId="77777777" w:rsidR="00820689" w:rsidRDefault="00820689" w:rsidP="00820689">
            <w:pPr>
              <w:spacing w:before="120" w:after="120"/>
              <w:rPr>
                <w:rFonts w:cstheme="minorHAnsi"/>
                <w:b/>
                <w:bCs/>
              </w:rPr>
            </w:pPr>
          </w:p>
        </w:tc>
      </w:tr>
      <w:tr w:rsidR="00820689" w14:paraId="268132EE" w14:textId="77777777" w:rsidTr="00A448C7">
        <w:tc>
          <w:tcPr>
            <w:tcW w:w="2160" w:type="dxa"/>
            <w:vAlign w:val="center"/>
          </w:tcPr>
          <w:p w14:paraId="4ECB5635" w14:textId="4DF25699" w:rsidR="00820689" w:rsidRDefault="00820689" w:rsidP="00A448C7">
            <w:pPr>
              <w:spacing w:before="120" w:after="120"/>
              <w:rPr>
                <w:rFonts w:cstheme="minorHAnsi"/>
                <w:b/>
                <w:bCs/>
              </w:rPr>
            </w:pPr>
            <w:r w:rsidRPr="004208C7">
              <w:rPr>
                <w:rFonts w:cstheme="minorHAnsi"/>
                <w:b/>
                <w:color w:val="221F1F"/>
              </w:rPr>
              <w:t>COURSE PRESENTER</w:t>
            </w:r>
          </w:p>
        </w:tc>
        <w:tc>
          <w:tcPr>
            <w:tcW w:w="7285" w:type="dxa"/>
            <w:gridSpan w:val="6"/>
          </w:tcPr>
          <w:p w14:paraId="550B1DC0" w14:textId="77777777" w:rsidR="00820689" w:rsidRDefault="00820689" w:rsidP="00820689">
            <w:pPr>
              <w:spacing w:before="120" w:after="120"/>
              <w:rPr>
                <w:rFonts w:cstheme="minorHAnsi"/>
                <w:b/>
                <w:bCs/>
              </w:rPr>
            </w:pPr>
          </w:p>
        </w:tc>
      </w:tr>
      <w:tr w:rsidR="00820689" w14:paraId="230D444F" w14:textId="77777777" w:rsidTr="00A448C7">
        <w:tc>
          <w:tcPr>
            <w:tcW w:w="2160" w:type="dxa"/>
            <w:vMerge w:val="restart"/>
            <w:vAlign w:val="center"/>
          </w:tcPr>
          <w:p w14:paraId="458BA8AE" w14:textId="357DFE08" w:rsidR="00820689" w:rsidRDefault="00820689" w:rsidP="00A448C7">
            <w:pPr>
              <w:spacing w:before="120" w:after="120"/>
              <w:rPr>
                <w:rFonts w:cstheme="minorHAnsi"/>
                <w:b/>
                <w:bCs/>
              </w:rPr>
            </w:pPr>
            <w:r w:rsidRPr="004208C7">
              <w:rPr>
                <w:rFonts w:cstheme="minorHAnsi"/>
                <w:b/>
                <w:color w:val="221F1F"/>
              </w:rPr>
              <w:t>COURSE OBJECTIVES</w:t>
            </w:r>
          </w:p>
        </w:tc>
        <w:tc>
          <w:tcPr>
            <w:tcW w:w="5760" w:type="dxa"/>
            <w:gridSpan w:val="5"/>
            <w:vAlign w:val="center"/>
          </w:tcPr>
          <w:p w14:paraId="202F4BE6" w14:textId="2D14E66F" w:rsidR="00820689" w:rsidRDefault="00820689" w:rsidP="00820689">
            <w:pPr>
              <w:spacing w:before="120" w:after="120"/>
              <w:jc w:val="center"/>
              <w:rPr>
                <w:rFonts w:cstheme="minorHAnsi"/>
                <w:b/>
                <w:bCs/>
              </w:rPr>
            </w:pPr>
            <w:r w:rsidRPr="004208C7">
              <w:rPr>
                <w:rFonts w:cstheme="minorHAnsi"/>
                <w:b/>
                <w:color w:val="221F1F"/>
              </w:rPr>
              <w:t>Description of Learning Objectives</w:t>
            </w:r>
          </w:p>
        </w:tc>
        <w:tc>
          <w:tcPr>
            <w:tcW w:w="1525" w:type="dxa"/>
            <w:vAlign w:val="center"/>
          </w:tcPr>
          <w:p w14:paraId="517F7DE3" w14:textId="600694CB" w:rsidR="00820689" w:rsidRDefault="00820689" w:rsidP="00820689">
            <w:pPr>
              <w:spacing w:before="120" w:after="120"/>
              <w:jc w:val="center"/>
              <w:rPr>
                <w:rFonts w:cstheme="minorHAnsi"/>
                <w:b/>
                <w:bCs/>
              </w:rPr>
            </w:pPr>
            <w:r w:rsidRPr="004208C7">
              <w:rPr>
                <w:rFonts w:cstheme="minorHAnsi"/>
                <w:b/>
                <w:color w:val="221F1F"/>
              </w:rPr>
              <w:t>Class Time</w:t>
            </w:r>
          </w:p>
        </w:tc>
      </w:tr>
      <w:tr w:rsidR="00820689" w14:paraId="5A5658D5" w14:textId="77777777" w:rsidTr="00A448C7">
        <w:tc>
          <w:tcPr>
            <w:tcW w:w="2160" w:type="dxa"/>
            <w:vMerge/>
            <w:vAlign w:val="center"/>
          </w:tcPr>
          <w:p w14:paraId="4F02522E" w14:textId="77777777" w:rsidR="00820689" w:rsidRDefault="00820689" w:rsidP="00A448C7">
            <w:pPr>
              <w:spacing w:before="120" w:after="120"/>
              <w:rPr>
                <w:rFonts w:cstheme="minorHAnsi"/>
                <w:b/>
                <w:bCs/>
              </w:rPr>
            </w:pPr>
          </w:p>
        </w:tc>
        <w:tc>
          <w:tcPr>
            <w:tcW w:w="540" w:type="dxa"/>
            <w:vAlign w:val="center"/>
          </w:tcPr>
          <w:p w14:paraId="2717937E" w14:textId="495C8535" w:rsidR="00820689" w:rsidRDefault="00820689" w:rsidP="00820689">
            <w:pPr>
              <w:spacing w:before="120" w:after="120"/>
              <w:jc w:val="center"/>
              <w:rPr>
                <w:rFonts w:cstheme="minorHAnsi"/>
                <w:b/>
                <w:bCs/>
              </w:rPr>
            </w:pPr>
            <w:r>
              <w:rPr>
                <w:rFonts w:cstheme="minorHAnsi"/>
                <w:b/>
                <w:bCs/>
              </w:rPr>
              <w:t>1</w:t>
            </w:r>
          </w:p>
        </w:tc>
        <w:tc>
          <w:tcPr>
            <w:tcW w:w="5220" w:type="dxa"/>
            <w:gridSpan w:val="4"/>
          </w:tcPr>
          <w:p w14:paraId="46617B3E" w14:textId="77777777" w:rsidR="00820689" w:rsidRDefault="00820689" w:rsidP="00820689">
            <w:pPr>
              <w:spacing w:before="120" w:after="120"/>
              <w:rPr>
                <w:rFonts w:cstheme="minorHAnsi"/>
                <w:b/>
                <w:bCs/>
              </w:rPr>
            </w:pPr>
          </w:p>
        </w:tc>
        <w:tc>
          <w:tcPr>
            <w:tcW w:w="1525" w:type="dxa"/>
          </w:tcPr>
          <w:p w14:paraId="060DCBF6" w14:textId="387D9F9F" w:rsidR="00820689" w:rsidRDefault="00820689" w:rsidP="00820689">
            <w:pPr>
              <w:spacing w:before="120" w:after="120"/>
              <w:rPr>
                <w:rFonts w:cstheme="minorHAnsi"/>
                <w:b/>
                <w:bCs/>
              </w:rPr>
            </w:pPr>
          </w:p>
        </w:tc>
      </w:tr>
      <w:tr w:rsidR="00820689" w14:paraId="55DF2057" w14:textId="77777777" w:rsidTr="00A448C7">
        <w:tc>
          <w:tcPr>
            <w:tcW w:w="2160" w:type="dxa"/>
            <w:vMerge/>
            <w:vAlign w:val="center"/>
          </w:tcPr>
          <w:p w14:paraId="053A8061" w14:textId="77777777" w:rsidR="00820689" w:rsidRDefault="00820689" w:rsidP="00A448C7">
            <w:pPr>
              <w:spacing w:before="120" w:after="120"/>
              <w:rPr>
                <w:rFonts w:cstheme="minorHAnsi"/>
                <w:b/>
                <w:bCs/>
              </w:rPr>
            </w:pPr>
          </w:p>
        </w:tc>
        <w:tc>
          <w:tcPr>
            <w:tcW w:w="540" w:type="dxa"/>
            <w:vAlign w:val="center"/>
          </w:tcPr>
          <w:p w14:paraId="305BC1A9" w14:textId="7D6F139F" w:rsidR="00820689" w:rsidRDefault="00820689" w:rsidP="00820689">
            <w:pPr>
              <w:spacing w:before="120" w:after="120"/>
              <w:jc w:val="center"/>
              <w:rPr>
                <w:rFonts w:cstheme="minorHAnsi"/>
                <w:b/>
                <w:bCs/>
              </w:rPr>
            </w:pPr>
            <w:r>
              <w:rPr>
                <w:rFonts w:cstheme="minorHAnsi"/>
                <w:b/>
                <w:bCs/>
              </w:rPr>
              <w:t>2</w:t>
            </w:r>
          </w:p>
        </w:tc>
        <w:tc>
          <w:tcPr>
            <w:tcW w:w="5220" w:type="dxa"/>
            <w:gridSpan w:val="4"/>
          </w:tcPr>
          <w:p w14:paraId="13934AD2" w14:textId="77777777" w:rsidR="00820689" w:rsidRDefault="00820689" w:rsidP="00820689">
            <w:pPr>
              <w:spacing w:before="120" w:after="120"/>
              <w:rPr>
                <w:rFonts w:cstheme="minorHAnsi"/>
                <w:b/>
                <w:bCs/>
              </w:rPr>
            </w:pPr>
          </w:p>
        </w:tc>
        <w:tc>
          <w:tcPr>
            <w:tcW w:w="1525" w:type="dxa"/>
          </w:tcPr>
          <w:p w14:paraId="4B21419E" w14:textId="41D49635" w:rsidR="00820689" w:rsidRDefault="00820689" w:rsidP="00820689">
            <w:pPr>
              <w:spacing w:before="120" w:after="120"/>
              <w:rPr>
                <w:rFonts w:cstheme="minorHAnsi"/>
                <w:b/>
                <w:bCs/>
              </w:rPr>
            </w:pPr>
          </w:p>
        </w:tc>
      </w:tr>
      <w:tr w:rsidR="00820689" w14:paraId="6C5EB0C6" w14:textId="77777777" w:rsidTr="00A448C7">
        <w:tc>
          <w:tcPr>
            <w:tcW w:w="2160" w:type="dxa"/>
            <w:vMerge/>
            <w:vAlign w:val="center"/>
          </w:tcPr>
          <w:p w14:paraId="088C902F" w14:textId="77777777" w:rsidR="00820689" w:rsidRDefault="00820689" w:rsidP="00A448C7">
            <w:pPr>
              <w:spacing w:before="120" w:after="120"/>
              <w:rPr>
                <w:rFonts w:cstheme="minorHAnsi"/>
                <w:b/>
                <w:bCs/>
              </w:rPr>
            </w:pPr>
          </w:p>
        </w:tc>
        <w:tc>
          <w:tcPr>
            <w:tcW w:w="540" w:type="dxa"/>
            <w:vAlign w:val="center"/>
          </w:tcPr>
          <w:p w14:paraId="1384203C" w14:textId="2950C502" w:rsidR="00820689" w:rsidRDefault="00820689" w:rsidP="00820689">
            <w:pPr>
              <w:spacing w:before="120" w:after="120"/>
              <w:jc w:val="center"/>
              <w:rPr>
                <w:rFonts w:cstheme="minorHAnsi"/>
                <w:b/>
                <w:bCs/>
              </w:rPr>
            </w:pPr>
            <w:r>
              <w:rPr>
                <w:rFonts w:cstheme="minorHAnsi"/>
                <w:b/>
                <w:bCs/>
              </w:rPr>
              <w:t>3</w:t>
            </w:r>
          </w:p>
        </w:tc>
        <w:tc>
          <w:tcPr>
            <w:tcW w:w="5220" w:type="dxa"/>
            <w:gridSpan w:val="4"/>
          </w:tcPr>
          <w:p w14:paraId="68F3AEE2" w14:textId="77777777" w:rsidR="00820689" w:rsidRDefault="00820689" w:rsidP="00820689">
            <w:pPr>
              <w:spacing w:before="120" w:after="120"/>
              <w:rPr>
                <w:rFonts w:cstheme="minorHAnsi"/>
                <w:b/>
                <w:bCs/>
              </w:rPr>
            </w:pPr>
          </w:p>
        </w:tc>
        <w:tc>
          <w:tcPr>
            <w:tcW w:w="1525" w:type="dxa"/>
          </w:tcPr>
          <w:p w14:paraId="4ED56A5F" w14:textId="6DE44338" w:rsidR="00820689" w:rsidRDefault="00820689" w:rsidP="00820689">
            <w:pPr>
              <w:spacing w:before="120" w:after="120"/>
              <w:rPr>
                <w:rFonts w:cstheme="minorHAnsi"/>
                <w:b/>
                <w:bCs/>
              </w:rPr>
            </w:pPr>
          </w:p>
        </w:tc>
      </w:tr>
      <w:tr w:rsidR="00820689" w14:paraId="1BACA7B9" w14:textId="77777777" w:rsidTr="00A448C7">
        <w:tc>
          <w:tcPr>
            <w:tcW w:w="2160" w:type="dxa"/>
            <w:vMerge/>
            <w:vAlign w:val="center"/>
          </w:tcPr>
          <w:p w14:paraId="41ED2878" w14:textId="77777777" w:rsidR="00820689" w:rsidRDefault="00820689" w:rsidP="00A448C7">
            <w:pPr>
              <w:spacing w:before="120" w:after="120"/>
              <w:rPr>
                <w:rFonts w:cstheme="minorHAnsi"/>
                <w:b/>
                <w:bCs/>
              </w:rPr>
            </w:pPr>
          </w:p>
        </w:tc>
        <w:tc>
          <w:tcPr>
            <w:tcW w:w="540" w:type="dxa"/>
            <w:vAlign w:val="center"/>
          </w:tcPr>
          <w:p w14:paraId="42364BD3" w14:textId="1AA29626" w:rsidR="00820689" w:rsidRDefault="00820689" w:rsidP="00820689">
            <w:pPr>
              <w:spacing w:before="120" w:after="120"/>
              <w:jc w:val="center"/>
              <w:rPr>
                <w:rFonts w:cstheme="minorHAnsi"/>
                <w:b/>
                <w:bCs/>
              </w:rPr>
            </w:pPr>
            <w:r>
              <w:rPr>
                <w:rFonts w:cstheme="minorHAnsi"/>
                <w:b/>
                <w:bCs/>
              </w:rPr>
              <w:t>4</w:t>
            </w:r>
          </w:p>
        </w:tc>
        <w:tc>
          <w:tcPr>
            <w:tcW w:w="5220" w:type="dxa"/>
            <w:gridSpan w:val="4"/>
          </w:tcPr>
          <w:p w14:paraId="43D7C4A1" w14:textId="77777777" w:rsidR="00820689" w:rsidRDefault="00820689" w:rsidP="00820689">
            <w:pPr>
              <w:spacing w:before="120" w:after="120"/>
              <w:rPr>
                <w:rFonts w:cstheme="minorHAnsi"/>
                <w:b/>
                <w:bCs/>
              </w:rPr>
            </w:pPr>
          </w:p>
        </w:tc>
        <w:tc>
          <w:tcPr>
            <w:tcW w:w="1525" w:type="dxa"/>
          </w:tcPr>
          <w:p w14:paraId="3807BB63" w14:textId="4BA2E92A" w:rsidR="00820689" w:rsidRDefault="00820689" w:rsidP="00820689">
            <w:pPr>
              <w:spacing w:before="120" w:after="120"/>
              <w:rPr>
                <w:rFonts w:cstheme="minorHAnsi"/>
                <w:b/>
                <w:bCs/>
              </w:rPr>
            </w:pPr>
          </w:p>
        </w:tc>
      </w:tr>
      <w:tr w:rsidR="00820689" w14:paraId="2D642828" w14:textId="77777777" w:rsidTr="00A448C7">
        <w:tc>
          <w:tcPr>
            <w:tcW w:w="2160" w:type="dxa"/>
            <w:vMerge/>
            <w:vAlign w:val="center"/>
          </w:tcPr>
          <w:p w14:paraId="51AAF3CA" w14:textId="77777777" w:rsidR="00820689" w:rsidRDefault="00820689" w:rsidP="00A448C7">
            <w:pPr>
              <w:spacing w:before="120" w:after="120"/>
              <w:rPr>
                <w:rFonts w:cstheme="minorHAnsi"/>
                <w:b/>
                <w:bCs/>
              </w:rPr>
            </w:pPr>
          </w:p>
        </w:tc>
        <w:tc>
          <w:tcPr>
            <w:tcW w:w="540" w:type="dxa"/>
            <w:vAlign w:val="center"/>
          </w:tcPr>
          <w:p w14:paraId="26575B95" w14:textId="6A670106" w:rsidR="00820689" w:rsidRDefault="00820689" w:rsidP="00820689">
            <w:pPr>
              <w:spacing w:before="120" w:after="120"/>
              <w:jc w:val="center"/>
              <w:rPr>
                <w:rFonts w:cstheme="minorHAnsi"/>
                <w:b/>
                <w:bCs/>
              </w:rPr>
            </w:pPr>
            <w:r>
              <w:rPr>
                <w:rFonts w:cstheme="minorHAnsi"/>
                <w:b/>
                <w:bCs/>
              </w:rPr>
              <w:t>5</w:t>
            </w:r>
          </w:p>
        </w:tc>
        <w:tc>
          <w:tcPr>
            <w:tcW w:w="5220" w:type="dxa"/>
            <w:gridSpan w:val="4"/>
          </w:tcPr>
          <w:p w14:paraId="722C4969" w14:textId="77777777" w:rsidR="00820689" w:rsidRDefault="00820689" w:rsidP="00820689">
            <w:pPr>
              <w:spacing w:before="120" w:after="120"/>
              <w:rPr>
                <w:rFonts w:cstheme="minorHAnsi"/>
                <w:b/>
                <w:bCs/>
              </w:rPr>
            </w:pPr>
          </w:p>
        </w:tc>
        <w:tc>
          <w:tcPr>
            <w:tcW w:w="1525" w:type="dxa"/>
          </w:tcPr>
          <w:p w14:paraId="00613CBF" w14:textId="356155FB" w:rsidR="00820689" w:rsidRDefault="00820689" w:rsidP="00820689">
            <w:pPr>
              <w:spacing w:before="120" w:after="120"/>
              <w:rPr>
                <w:rFonts w:cstheme="minorHAnsi"/>
                <w:b/>
                <w:bCs/>
              </w:rPr>
            </w:pPr>
          </w:p>
        </w:tc>
      </w:tr>
      <w:tr w:rsidR="00A448C7" w14:paraId="152A8AD8" w14:textId="77777777" w:rsidTr="00A448C7">
        <w:tc>
          <w:tcPr>
            <w:tcW w:w="2160" w:type="dxa"/>
            <w:vAlign w:val="center"/>
          </w:tcPr>
          <w:p w14:paraId="7677B69D" w14:textId="47C41C6F" w:rsidR="00A448C7" w:rsidRPr="00A448C7" w:rsidRDefault="00A448C7" w:rsidP="00A448C7">
            <w:pPr>
              <w:spacing w:before="120" w:after="120"/>
              <w:rPr>
                <w:rFonts w:cstheme="minorHAnsi"/>
                <w:b/>
                <w:bCs/>
                <w:caps/>
              </w:rPr>
            </w:pPr>
            <w:r w:rsidRPr="00A448C7">
              <w:rPr>
                <w:rFonts w:cstheme="minorHAnsi"/>
                <w:b/>
                <w:bCs/>
                <w:caps/>
              </w:rPr>
              <w:t>Requested Category</w:t>
            </w:r>
          </w:p>
        </w:tc>
        <w:tc>
          <w:tcPr>
            <w:tcW w:w="1821" w:type="dxa"/>
            <w:gridSpan w:val="2"/>
            <w:vAlign w:val="center"/>
          </w:tcPr>
          <w:p w14:paraId="6A72B414" w14:textId="77777777" w:rsidR="00A448C7" w:rsidRDefault="00A448C7" w:rsidP="00A448C7">
            <w:pPr>
              <w:spacing w:before="120" w:after="120"/>
              <w:jc w:val="center"/>
              <w:rPr>
                <w:rFonts w:cstheme="minorHAnsi"/>
                <w:b/>
                <w:bCs/>
              </w:rPr>
            </w:pPr>
            <w:r w:rsidRPr="00A448C7">
              <w:rPr>
                <w:rFonts w:cstheme="minorHAnsi"/>
                <w:b/>
                <w:bCs/>
              </w:rPr>
              <w:t>Category I</w:t>
            </w:r>
          </w:p>
          <w:p w14:paraId="56318D7B" w14:textId="1403A236" w:rsidR="00A448C7" w:rsidRPr="00A448C7" w:rsidRDefault="00A448C7" w:rsidP="00A448C7">
            <w:pPr>
              <w:spacing w:before="120" w:after="120"/>
              <w:jc w:val="center"/>
              <w:rPr>
                <w:rFonts w:cstheme="minorHAnsi"/>
                <w:b/>
                <w:bCs/>
              </w:rPr>
            </w:pPr>
            <w:r w:rsidRPr="00A448C7">
              <w:rPr>
                <w:rFonts w:cstheme="minorHAnsi"/>
                <w:b/>
                <w:bCs/>
              </w:rPr>
              <w:t>Operations</w:t>
            </w:r>
          </w:p>
        </w:tc>
        <w:tc>
          <w:tcPr>
            <w:tcW w:w="1821" w:type="dxa"/>
            <w:vAlign w:val="center"/>
          </w:tcPr>
          <w:p w14:paraId="34D7FC76" w14:textId="7E893911" w:rsidR="00A448C7" w:rsidRDefault="00A448C7" w:rsidP="00A448C7">
            <w:pPr>
              <w:spacing w:before="120" w:after="120"/>
              <w:jc w:val="center"/>
              <w:rPr>
                <w:rFonts w:cstheme="minorHAnsi"/>
                <w:b/>
                <w:bCs/>
              </w:rPr>
            </w:pPr>
            <w:r w:rsidRPr="00A448C7">
              <w:rPr>
                <w:rFonts w:cstheme="minorHAnsi"/>
                <w:b/>
                <w:bCs/>
              </w:rPr>
              <w:t>Category II</w:t>
            </w:r>
          </w:p>
          <w:p w14:paraId="460D898A" w14:textId="72E542DF" w:rsidR="00A448C7" w:rsidRPr="00A448C7" w:rsidRDefault="00A448C7" w:rsidP="00A448C7">
            <w:pPr>
              <w:spacing w:before="120" w:after="120"/>
              <w:jc w:val="center"/>
              <w:rPr>
                <w:rFonts w:cstheme="minorHAnsi"/>
                <w:b/>
                <w:bCs/>
              </w:rPr>
            </w:pPr>
            <w:r w:rsidRPr="00A448C7">
              <w:rPr>
                <w:rFonts w:cstheme="minorHAnsi"/>
                <w:b/>
                <w:bCs/>
              </w:rPr>
              <w:t>Legal</w:t>
            </w:r>
            <w:r>
              <w:rPr>
                <w:rFonts w:cstheme="minorHAnsi"/>
                <w:b/>
                <w:bCs/>
              </w:rPr>
              <w:t xml:space="preserve"> </w:t>
            </w:r>
            <w:r w:rsidRPr="00A448C7">
              <w:rPr>
                <w:rFonts w:cstheme="minorHAnsi"/>
                <w:b/>
                <w:bCs/>
              </w:rPr>
              <w:t>Foundations</w:t>
            </w:r>
          </w:p>
        </w:tc>
        <w:tc>
          <w:tcPr>
            <w:tcW w:w="1821" w:type="dxa"/>
            <w:vAlign w:val="center"/>
          </w:tcPr>
          <w:p w14:paraId="41CBDD9F" w14:textId="77777777" w:rsidR="00A448C7" w:rsidRDefault="00A448C7" w:rsidP="00A448C7">
            <w:pPr>
              <w:spacing w:before="120" w:after="120"/>
              <w:jc w:val="center"/>
              <w:rPr>
                <w:rFonts w:cstheme="minorHAnsi"/>
                <w:b/>
                <w:bCs/>
              </w:rPr>
            </w:pPr>
            <w:r w:rsidRPr="00A448C7">
              <w:rPr>
                <w:rFonts w:cstheme="minorHAnsi"/>
                <w:b/>
                <w:bCs/>
              </w:rPr>
              <w:t>Category III</w:t>
            </w:r>
          </w:p>
          <w:p w14:paraId="10625584" w14:textId="59A59ED9" w:rsidR="00A448C7" w:rsidRPr="00A448C7" w:rsidRDefault="00A448C7" w:rsidP="00A448C7">
            <w:pPr>
              <w:spacing w:before="120" w:after="120"/>
              <w:jc w:val="center"/>
              <w:rPr>
                <w:rFonts w:cstheme="minorHAnsi"/>
                <w:b/>
                <w:bCs/>
              </w:rPr>
            </w:pPr>
            <w:r w:rsidRPr="00A448C7">
              <w:rPr>
                <w:rFonts w:cstheme="minorHAnsi"/>
                <w:b/>
                <w:bCs/>
              </w:rPr>
              <w:t>Leadership</w:t>
            </w:r>
          </w:p>
        </w:tc>
        <w:tc>
          <w:tcPr>
            <w:tcW w:w="1822" w:type="dxa"/>
            <w:gridSpan w:val="2"/>
            <w:vAlign w:val="center"/>
          </w:tcPr>
          <w:p w14:paraId="44D6C67B" w14:textId="77777777" w:rsidR="00A448C7" w:rsidRDefault="00A448C7" w:rsidP="00A448C7">
            <w:pPr>
              <w:spacing w:before="120" w:after="120"/>
              <w:jc w:val="center"/>
              <w:rPr>
                <w:rFonts w:cstheme="minorHAnsi"/>
                <w:b/>
                <w:bCs/>
              </w:rPr>
            </w:pPr>
            <w:r w:rsidRPr="00A448C7">
              <w:rPr>
                <w:rFonts w:cstheme="minorHAnsi"/>
                <w:b/>
                <w:bCs/>
              </w:rPr>
              <w:t>Category IV</w:t>
            </w:r>
          </w:p>
          <w:p w14:paraId="10F153DA" w14:textId="78F0B182" w:rsidR="00A448C7" w:rsidRPr="00A448C7" w:rsidRDefault="00A448C7" w:rsidP="00A448C7">
            <w:pPr>
              <w:spacing w:before="120" w:after="120"/>
              <w:jc w:val="center"/>
              <w:rPr>
                <w:rFonts w:cstheme="minorHAnsi"/>
                <w:b/>
                <w:bCs/>
              </w:rPr>
            </w:pPr>
            <w:r w:rsidRPr="00A448C7">
              <w:rPr>
                <w:rFonts w:cstheme="minorHAnsi"/>
                <w:b/>
                <w:bCs/>
              </w:rPr>
              <w:t>Augmented</w:t>
            </w:r>
          </w:p>
        </w:tc>
      </w:tr>
      <w:tr w:rsidR="00A448C7" w14:paraId="7314B8BF" w14:textId="77777777" w:rsidTr="00A448C7">
        <w:trPr>
          <w:trHeight w:val="1340"/>
        </w:trPr>
        <w:tc>
          <w:tcPr>
            <w:tcW w:w="2160" w:type="dxa"/>
            <w:vAlign w:val="center"/>
          </w:tcPr>
          <w:p w14:paraId="21510762" w14:textId="26321917" w:rsidR="00A448C7" w:rsidRDefault="00A448C7" w:rsidP="00A448C7">
            <w:pPr>
              <w:spacing w:before="120" w:after="120"/>
              <w:rPr>
                <w:rFonts w:cstheme="minorHAnsi"/>
                <w:b/>
                <w:bCs/>
              </w:rPr>
            </w:pPr>
            <w:r w:rsidRPr="00A448C7">
              <w:rPr>
                <w:rFonts w:cstheme="minorHAnsi"/>
                <w:b/>
                <w:bCs/>
              </w:rPr>
              <w:t>Describe how the content relates to Rights?</w:t>
            </w:r>
          </w:p>
        </w:tc>
        <w:tc>
          <w:tcPr>
            <w:tcW w:w="7285" w:type="dxa"/>
            <w:gridSpan w:val="6"/>
          </w:tcPr>
          <w:p w14:paraId="38E2E269" w14:textId="77777777" w:rsidR="00A448C7" w:rsidRDefault="00A448C7" w:rsidP="00820689">
            <w:pPr>
              <w:spacing w:before="120" w:after="120"/>
              <w:rPr>
                <w:rFonts w:cstheme="minorHAnsi"/>
                <w:b/>
                <w:bCs/>
              </w:rPr>
            </w:pPr>
          </w:p>
        </w:tc>
      </w:tr>
    </w:tbl>
    <w:p w14:paraId="4EDE4EFE" w14:textId="78BABE5A" w:rsidR="00C55EB0" w:rsidRPr="00C55EB0" w:rsidRDefault="00C55EB0" w:rsidP="00C55EB0">
      <w:pPr>
        <w:rPr>
          <w:rFonts w:cstheme="minorHAnsi"/>
          <w:b/>
          <w:bCs/>
        </w:rPr>
      </w:pPr>
    </w:p>
    <w:sectPr w:rsidR="00C55EB0" w:rsidRPr="00C55E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D31B" w14:textId="77777777" w:rsidR="003C3834" w:rsidRDefault="003C3834" w:rsidP="006B79DD">
      <w:pPr>
        <w:spacing w:after="0" w:line="240" w:lineRule="auto"/>
      </w:pPr>
      <w:r>
        <w:separator/>
      </w:r>
    </w:p>
  </w:endnote>
  <w:endnote w:type="continuationSeparator" w:id="0">
    <w:p w14:paraId="006E1083" w14:textId="77777777" w:rsidR="003C3834" w:rsidRDefault="003C3834" w:rsidP="006B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9570" w14:textId="755FC5A0" w:rsidR="00A448C7" w:rsidRPr="00A448C7" w:rsidRDefault="00897819" w:rsidP="00A448C7">
    <w:pPr>
      <w:pStyle w:val="Footer"/>
      <w:jc w:val="right"/>
      <w:rPr>
        <w:i/>
        <w:iCs/>
      </w:rPr>
    </w:pPr>
    <w:r>
      <w:rPr>
        <w:i/>
        <w:iCs/>
      </w:rPr>
      <w:t>Attachment E-3: Recipient Rights for Psychiatric Inpatient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C6F7" w14:textId="77777777" w:rsidR="003C3834" w:rsidRDefault="003C3834" w:rsidP="006B79DD">
      <w:pPr>
        <w:spacing w:after="0" w:line="240" w:lineRule="auto"/>
      </w:pPr>
      <w:r>
        <w:separator/>
      </w:r>
    </w:p>
  </w:footnote>
  <w:footnote w:type="continuationSeparator" w:id="0">
    <w:p w14:paraId="67B5B228" w14:textId="77777777" w:rsidR="003C3834" w:rsidRDefault="003C3834" w:rsidP="006B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919A" w14:textId="5E34A96E" w:rsidR="006B79DD" w:rsidRPr="008150C5" w:rsidRDefault="006B79DD" w:rsidP="006B79DD">
    <w:pPr>
      <w:pStyle w:val="Header"/>
      <w:jc w:val="right"/>
      <w:rPr>
        <w:b/>
        <w:bCs/>
        <w:caps/>
      </w:rPr>
    </w:pPr>
    <w:r w:rsidRPr="008150C5">
      <w:rPr>
        <w:b/>
        <w:bCs/>
        <w:caps/>
      </w:rPr>
      <w:t>Attachment E-3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67D98"/>
    <w:multiLevelType w:val="hybridMultilevel"/>
    <w:tmpl w:val="66A8B92E"/>
    <w:lvl w:ilvl="0" w:tplc="2E12DADA">
      <w:start w:val="1"/>
      <w:numFmt w:val="decimal"/>
      <w:lvlText w:val="%1."/>
      <w:lvlJc w:val="left"/>
      <w:pPr>
        <w:ind w:left="360" w:hanging="360"/>
      </w:pPr>
      <w:rPr>
        <w:b w:val="0"/>
        <w:bCs w:val="0"/>
      </w:rPr>
    </w:lvl>
    <w:lvl w:ilvl="1" w:tplc="1068BB0C">
      <w:start w:val="1"/>
      <w:numFmt w:val="lowerLetter"/>
      <w:lvlText w:val="%2."/>
      <w:lvlJc w:val="left"/>
      <w:pPr>
        <w:ind w:left="1080" w:hanging="360"/>
      </w:pPr>
      <w:rPr>
        <w:b w:val="0"/>
        <w:bCs w:val="0"/>
      </w:rPr>
    </w:lvl>
    <w:lvl w:ilvl="2" w:tplc="9FB0BDB2">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7C4DCE"/>
    <w:multiLevelType w:val="hybridMultilevel"/>
    <w:tmpl w:val="46743DD4"/>
    <w:lvl w:ilvl="0" w:tplc="2E12DADA">
      <w:start w:val="1"/>
      <w:numFmt w:val="decimal"/>
      <w:lvlText w:val="%1."/>
      <w:lvlJc w:val="left"/>
      <w:pPr>
        <w:ind w:left="216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C380F38"/>
    <w:multiLevelType w:val="hybridMultilevel"/>
    <w:tmpl w:val="27E26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26279292">
    <w:abstractNumId w:val="0"/>
  </w:num>
  <w:num w:numId="2" w16cid:durableId="239026739">
    <w:abstractNumId w:val="2"/>
  </w:num>
  <w:num w:numId="3" w16cid:durableId="2012562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DD"/>
    <w:rsid w:val="002015AA"/>
    <w:rsid w:val="003C3834"/>
    <w:rsid w:val="005222E6"/>
    <w:rsid w:val="006B79DD"/>
    <w:rsid w:val="008150C5"/>
    <w:rsid w:val="00820689"/>
    <w:rsid w:val="00886942"/>
    <w:rsid w:val="00897819"/>
    <w:rsid w:val="00A448C7"/>
    <w:rsid w:val="00B7670D"/>
    <w:rsid w:val="00C55EB0"/>
    <w:rsid w:val="00EC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8A86"/>
  <w15:chartTrackingRefBased/>
  <w15:docId w15:val="{DDF9A04D-90EE-423D-B260-12EF7233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9DD"/>
  </w:style>
  <w:style w:type="paragraph" w:styleId="Footer">
    <w:name w:val="footer"/>
    <w:basedOn w:val="Normal"/>
    <w:link w:val="FooterChar"/>
    <w:uiPriority w:val="99"/>
    <w:unhideWhenUsed/>
    <w:rsid w:val="006B7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9DD"/>
  </w:style>
  <w:style w:type="paragraph" w:styleId="ListParagraph">
    <w:name w:val="List Paragraph"/>
    <w:basedOn w:val="Normal"/>
    <w:uiPriority w:val="34"/>
    <w:qFormat/>
    <w:rsid w:val="006B79DD"/>
    <w:pPr>
      <w:ind w:left="720"/>
      <w:contextualSpacing/>
    </w:pPr>
  </w:style>
  <w:style w:type="character" w:styleId="Hyperlink">
    <w:name w:val="Hyperlink"/>
    <w:basedOn w:val="DefaultParagraphFont"/>
    <w:uiPriority w:val="99"/>
    <w:unhideWhenUsed/>
    <w:rsid w:val="00C55EB0"/>
    <w:rPr>
      <w:color w:val="0563C1" w:themeColor="hyperlink"/>
      <w:u w:val="single"/>
    </w:rPr>
  </w:style>
  <w:style w:type="character" w:styleId="UnresolvedMention">
    <w:name w:val="Unresolved Mention"/>
    <w:basedOn w:val="DefaultParagraphFont"/>
    <w:uiPriority w:val="99"/>
    <w:semiHidden/>
    <w:unhideWhenUsed/>
    <w:rsid w:val="00C55EB0"/>
    <w:rPr>
      <w:color w:val="605E5C"/>
      <w:shd w:val="clear" w:color="auto" w:fill="E1DFDD"/>
    </w:rPr>
  </w:style>
  <w:style w:type="paragraph" w:customStyle="1" w:styleId="TableParagraph">
    <w:name w:val="Table Paragraph"/>
    <w:basedOn w:val="Normal"/>
    <w:uiPriority w:val="1"/>
    <w:qFormat/>
    <w:rsid w:val="00C55EB0"/>
    <w:pPr>
      <w:widowControl w:val="0"/>
      <w:autoSpaceDE w:val="0"/>
      <w:autoSpaceDN w:val="0"/>
      <w:spacing w:after="0" w:line="240" w:lineRule="auto"/>
      <w:ind w:left="2"/>
    </w:pPr>
    <w:rPr>
      <w:rFonts w:ascii="Calibri" w:eastAsia="Calibri" w:hAnsi="Calibri" w:cs="Calibri"/>
      <w:kern w:val="0"/>
      <w14:ligatures w14:val="none"/>
    </w:rPr>
  </w:style>
  <w:style w:type="table" w:styleId="TableGrid">
    <w:name w:val="Table Grid"/>
    <w:basedOn w:val="TableNormal"/>
    <w:uiPriority w:val="39"/>
    <w:rsid w:val="0082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DHHS-ORR-Training@michigan.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A15D3CB8A8C44A36A66B2DEBA858B" ma:contentTypeVersion="21" ma:contentTypeDescription="Create a new document." ma:contentTypeScope="" ma:versionID="507b90513d095237e0c8702f89504c29">
  <xsd:schema xmlns:xsd="http://www.w3.org/2001/XMLSchema" xmlns:xs="http://www.w3.org/2001/XMLSchema" xmlns:p="http://schemas.microsoft.com/office/2006/metadata/properties" xmlns:ns1="http://schemas.microsoft.com/sharepoint/v3" xmlns:ns2="1be5e8a8-97d5-43d5-b524-6ad3071f6748" xmlns:ns3="6f21e20c-462b-40c5-82f1-b7ecf66b248c" targetNamespace="http://schemas.microsoft.com/office/2006/metadata/properties" ma:root="true" ma:fieldsID="4531c261048ad716c35d7e6735e42847" ns1:_="" ns2:_="" ns3:_="">
    <xsd:import namespace="http://schemas.microsoft.com/sharepoint/v3"/>
    <xsd:import namespace="1be5e8a8-97d5-43d5-b524-6ad3071f6748"/>
    <xsd:import namespace="6f21e20c-462b-40c5-82f1-b7ecf66b248c"/>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5e8a8-97d5-43d5-b524-6ad3071f67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6f243bf-a790-45c4-8778-c4ac1697dff0}" ma:internalName="TaxCatchAll" ma:showField="CatchAllData" ma:web="1be5e8a8-97d5-43d5-b524-6ad3071f67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21e20c-462b-40c5-82f1-b7ecf66b24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date" ma:index="17" nillable="true" ma:displayName="date" ma:format="DateOnly" ma:internalName="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5f4c02-01be-4dd0-8be2-237d3218fd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f21e20c-462b-40c5-82f1-b7ecf66b248c">
      <Terms xmlns="http://schemas.microsoft.com/office/infopath/2007/PartnerControls"/>
    </lcf76f155ced4ddcb4097134ff3c332f>
    <date xmlns="6f21e20c-462b-40c5-82f1-b7ecf66b248c" xsi:nil="true"/>
    <_ip_UnifiedCompliancePolicyProperties xmlns="http://schemas.microsoft.com/sharepoint/v3" xsi:nil="true"/>
    <TaxCatchAll xmlns="1be5e8a8-97d5-43d5-b524-6ad3071f6748" xsi:nil="true"/>
  </documentManagement>
</p:properties>
</file>

<file path=customXml/itemProps1.xml><?xml version="1.0" encoding="utf-8"?>
<ds:datastoreItem xmlns:ds="http://schemas.openxmlformats.org/officeDocument/2006/customXml" ds:itemID="{126326A2-23C3-4E5F-976A-A1D332086159}"/>
</file>

<file path=customXml/itemProps2.xml><?xml version="1.0" encoding="utf-8"?>
<ds:datastoreItem xmlns:ds="http://schemas.openxmlformats.org/officeDocument/2006/customXml" ds:itemID="{88ED37D8-5F40-4003-BA77-F66D119D0C13}">
  <ds:schemaRefs>
    <ds:schemaRef ds:uri="http://schemas.microsoft.com/sharepoint/v3/contenttype/forms"/>
  </ds:schemaRefs>
</ds:datastoreItem>
</file>

<file path=customXml/itemProps3.xml><?xml version="1.0" encoding="utf-8"?>
<ds:datastoreItem xmlns:ds="http://schemas.openxmlformats.org/officeDocument/2006/customXml" ds:itemID="{4D0950E6-0574-4840-BA17-640FE83BAAAD}"/>
</file>

<file path=docProps/app.xml><?xml version="1.0" encoding="utf-8"?>
<Properties xmlns="http://schemas.openxmlformats.org/officeDocument/2006/extended-properties" xmlns:vt="http://schemas.openxmlformats.org/officeDocument/2006/docPropsVTypes">
  <Template>Normal.dotm</Template>
  <TotalTime>42</TotalTime>
  <Pages>7</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McCormick</dc:creator>
  <cp:keywords/>
  <dc:description/>
  <cp:lastModifiedBy>Don Avery</cp:lastModifiedBy>
  <cp:revision>6</cp:revision>
  <dcterms:created xsi:type="dcterms:W3CDTF">2023-08-02T18:10:00Z</dcterms:created>
  <dcterms:modified xsi:type="dcterms:W3CDTF">2023-09-14T17:34:00Z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0x010100177A15D3CB8A8C44A36A66B2DEBA858B</vt:lpwstr>
  </property>
</Properties>
</file>