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78D1" w14:textId="47C44317" w:rsidR="00147120" w:rsidRPr="00FD72D2" w:rsidRDefault="005E195B" w:rsidP="005E195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72D2">
        <w:rPr>
          <w:rFonts w:cstheme="minorHAnsi"/>
          <w:b/>
          <w:bCs/>
          <w:sz w:val="24"/>
          <w:szCs w:val="24"/>
        </w:rPr>
        <w:t>ATTACHMENT F</w:t>
      </w:r>
    </w:p>
    <w:p w14:paraId="158735F8" w14:textId="1AE269D1" w:rsidR="005E195B" w:rsidRPr="00FD72D2" w:rsidRDefault="005E195B" w:rsidP="005E195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D72D2">
        <w:rPr>
          <w:rFonts w:cstheme="minorHAnsi"/>
          <w:b/>
          <w:bCs/>
          <w:sz w:val="24"/>
          <w:szCs w:val="24"/>
        </w:rPr>
        <w:t>PERFORMANCE INDICATORS</w:t>
      </w:r>
    </w:p>
    <w:p w14:paraId="58DF0409" w14:textId="77777777" w:rsidR="0068485F" w:rsidRPr="0068485F" w:rsidRDefault="0068485F" w:rsidP="005E195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10265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2250"/>
        <w:gridCol w:w="2160"/>
        <w:gridCol w:w="1615"/>
        <w:gridCol w:w="1535"/>
        <w:gridCol w:w="1170"/>
      </w:tblGrid>
      <w:tr w:rsidR="00057019" w:rsidRPr="00E07977" w14:paraId="27424F3E" w14:textId="77777777" w:rsidTr="00DB1810">
        <w:trPr>
          <w:cantSplit/>
          <w:tblHeader/>
          <w:jc w:val="center"/>
        </w:trPr>
        <w:tc>
          <w:tcPr>
            <w:tcW w:w="1535" w:type="dxa"/>
            <w:vAlign w:val="center"/>
          </w:tcPr>
          <w:p w14:paraId="47E9320D" w14:textId="77777777" w:rsidR="00874903" w:rsidRPr="00E07977" w:rsidRDefault="00874903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Area of Compliance</w:t>
            </w:r>
          </w:p>
        </w:tc>
        <w:tc>
          <w:tcPr>
            <w:tcW w:w="2250" w:type="dxa"/>
            <w:vAlign w:val="center"/>
          </w:tcPr>
          <w:p w14:paraId="03F157F3" w14:textId="77777777" w:rsidR="00874903" w:rsidRPr="00E07977" w:rsidRDefault="00874903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Outcome</w:t>
            </w:r>
          </w:p>
        </w:tc>
        <w:tc>
          <w:tcPr>
            <w:tcW w:w="2160" w:type="dxa"/>
            <w:vAlign w:val="center"/>
          </w:tcPr>
          <w:p w14:paraId="40D1E05E" w14:textId="6E8BA4B7" w:rsidR="00874903" w:rsidRPr="00E07977" w:rsidRDefault="00874903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Performance</w:t>
            </w:r>
            <w:r w:rsidR="00645858" w:rsidRPr="00E07977">
              <w:rPr>
                <w:rFonts w:cstheme="minorHAnsi"/>
                <w:b/>
              </w:rPr>
              <w:t xml:space="preserve"> </w:t>
            </w:r>
            <w:r w:rsidRPr="00E07977">
              <w:rPr>
                <w:rFonts w:cstheme="minorHAnsi"/>
                <w:b/>
              </w:rPr>
              <w:t>Indicator</w:t>
            </w:r>
          </w:p>
        </w:tc>
        <w:tc>
          <w:tcPr>
            <w:tcW w:w="1615" w:type="dxa"/>
            <w:vAlign w:val="center"/>
          </w:tcPr>
          <w:p w14:paraId="6F02F502" w14:textId="0417470F" w:rsidR="00874903" w:rsidRPr="00E07977" w:rsidRDefault="00874903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Benchmark</w:t>
            </w:r>
          </w:p>
        </w:tc>
        <w:tc>
          <w:tcPr>
            <w:tcW w:w="1535" w:type="dxa"/>
            <w:vAlign w:val="center"/>
          </w:tcPr>
          <w:p w14:paraId="5F7E5319" w14:textId="4DB7699B" w:rsidR="00874903" w:rsidRPr="00E07977" w:rsidRDefault="00645858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Data Collection Responsibility</w:t>
            </w:r>
          </w:p>
        </w:tc>
        <w:tc>
          <w:tcPr>
            <w:tcW w:w="1170" w:type="dxa"/>
            <w:vAlign w:val="center"/>
          </w:tcPr>
          <w:p w14:paraId="0C46CC36" w14:textId="6C830664" w:rsidR="00874903" w:rsidRPr="00E07977" w:rsidRDefault="003553FB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Frequency</w:t>
            </w:r>
          </w:p>
          <w:p w14:paraId="1314FD33" w14:textId="38FC73C9" w:rsidR="00494BBA" w:rsidRPr="00E07977" w:rsidRDefault="00494BBA" w:rsidP="00645858">
            <w:pPr>
              <w:pStyle w:val="Footer"/>
              <w:jc w:val="center"/>
              <w:rPr>
                <w:rFonts w:cstheme="minorHAnsi"/>
                <w:b/>
              </w:rPr>
            </w:pPr>
            <w:r w:rsidRPr="00E07977">
              <w:rPr>
                <w:rFonts w:cstheme="minorHAnsi"/>
                <w:b/>
              </w:rPr>
              <w:t>Collected</w:t>
            </w:r>
          </w:p>
        </w:tc>
      </w:tr>
      <w:tr w:rsidR="00057019" w:rsidRPr="00E07977" w14:paraId="5873130B" w14:textId="77777777" w:rsidTr="00DB1810">
        <w:trPr>
          <w:cantSplit/>
          <w:jc w:val="center"/>
        </w:trPr>
        <w:tc>
          <w:tcPr>
            <w:tcW w:w="1535" w:type="dxa"/>
          </w:tcPr>
          <w:p w14:paraId="35E6BC77" w14:textId="77777777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Supports and Services</w:t>
            </w:r>
          </w:p>
        </w:tc>
        <w:tc>
          <w:tcPr>
            <w:tcW w:w="2250" w:type="dxa"/>
          </w:tcPr>
          <w:p w14:paraId="6FD8EAE2" w14:textId="5991D89E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provide services as defined in the Individual Plan of Service (IPOS)</w:t>
            </w:r>
            <w:r w:rsidR="002E2BB3" w:rsidRPr="00E07977">
              <w:rPr>
                <w:rFonts w:cstheme="minorHAnsi"/>
              </w:rPr>
              <w:t>/ Treatment Plan</w:t>
            </w:r>
            <w:r w:rsidRPr="00E07977">
              <w:rPr>
                <w:rFonts w:cstheme="minorHAnsi"/>
              </w:rPr>
              <w:t xml:space="preserve">.  </w:t>
            </w:r>
          </w:p>
        </w:tc>
        <w:tc>
          <w:tcPr>
            <w:tcW w:w="2160" w:type="dxa"/>
          </w:tcPr>
          <w:p w14:paraId="6FB7CF25" w14:textId="77777777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report successful implementation of the planned supports/services as electronically documented in an electronic MIS.</w:t>
            </w:r>
          </w:p>
        </w:tc>
        <w:tc>
          <w:tcPr>
            <w:tcW w:w="1615" w:type="dxa"/>
          </w:tcPr>
          <w:p w14:paraId="34DBC627" w14:textId="77777777" w:rsidR="000B3AC7" w:rsidRPr="00E07977" w:rsidRDefault="002E2BB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Per IPOS/</w:t>
            </w:r>
          </w:p>
          <w:p w14:paraId="79929FC5" w14:textId="06E5B19F" w:rsidR="00874903" w:rsidRPr="00E07977" w:rsidRDefault="002E2BB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Treatment Plan</w:t>
            </w:r>
          </w:p>
        </w:tc>
        <w:tc>
          <w:tcPr>
            <w:tcW w:w="1535" w:type="dxa"/>
          </w:tcPr>
          <w:p w14:paraId="090846F9" w14:textId="77777777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Provider </w:t>
            </w:r>
          </w:p>
        </w:tc>
        <w:tc>
          <w:tcPr>
            <w:tcW w:w="1170" w:type="dxa"/>
          </w:tcPr>
          <w:p w14:paraId="1D97826B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Annually</w:t>
            </w:r>
          </w:p>
        </w:tc>
      </w:tr>
      <w:tr w:rsidR="00057019" w:rsidRPr="00E07977" w14:paraId="4F578F41" w14:textId="77777777" w:rsidTr="00DB1810">
        <w:trPr>
          <w:cantSplit/>
          <w:jc w:val="center"/>
        </w:trPr>
        <w:tc>
          <w:tcPr>
            <w:tcW w:w="1535" w:type="dxa"/>
          </w:tcPr>
          <w:p w14:paraId="51AE7479" w14:textId="77777777" w:rsidR="00874903" w:rsidRPr="00E07977" w:rsidRDefault="00494BBA" w:rsidP="00494BBA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Quality Management</w:t>
            </w:r>
          </w:p>
        </w:tc>
        <w:tc>
          <w:tcPr>
            <w:tcW w:w="2250" w:type="dxa"/>
          </w:tcPr>
          <w:p w14:paraId="2CB719E1" w14:textId="77777777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document services provided to individual(s) in a manner that meets Medicaid standards, as monitored by the CMHSP and LRE.</w:t>
            </w:r>
          </w:p>
        </w:tc>
        <w:tc>
          <w:tcPr>
            <w:tcW w:w="2160" w:type="dxa"/>
          </w:tcPr>
          <w:p w14:paraId="07689100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Score achieved in annual Clinical Chart Review.  </w:t>
            </w:r>
          </w:p>
        </w:tc>
        <w:tc>
          <w:tcPr>
            <w:tcW w:w="1615" w:type="dxa"/>
          </w:tcPr>
          <w:p w14:paraId="518F72AF" w14:textId="1D198450" w:rsidR="00874903" w:rsidRPr="00E07977" w:rsidRDefault="00874903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9</w:t>
            </w:r>
            <w:r w:rsidR="00ED63D6" w:rsidRPr="00E07977">
              <w:rPr>
                <w:rFonts w:cstheme="minorHAnsi"/>
              </w:rPr>
              <w:t>5</w:t>
            </w:r>
            <w:r w:rsidRPr="00E07977">
              <w:rPr>
                <w:rFonts w:cstheme="minorHAnsi"/>
              </w:rPr>
              <w:t>% or better</w:t>
            </w:r>
          </w:p>
        </w:tc>
        <w:tc>
          <w:tcPr>
            <w:tcW w:w="1535" w:type="dxa"/>
          </w:tcPr>
          <w:p w14:paraId="072F7A92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LRE</w:t>
            </w:r>
          </w:p>
        </w:tc>
        <w:tc>
          <w:tcPr>
            <w:tcW w:w="1170" w:type="dxa"/>
          </w:tcPr>
          <w:p w14:paraId="437DE218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Annually</w:t>
            </w:r>
          </w:p>
        </w:tc>
      </w:tr>
      <w:tr w:rsidR="00696099" w:rsidRPr="00E07977" w14:paraId="376BF6C7" w14:textId="77777777" w:rsidTr="00DB1810">
        <w:trPr>
          <w:cantSplit/>
          <w:jc w:val="center"/>
        </w:trPr>
        <w:tc>
          <w:tcPr>
            <w:tcW w:w="1535" w:type="dxa"/>
          </w:tcPr>
          <w:p w14:paraId="5587CF2A" w14:textId="5293F74D" w:rsidR="00696099" w:rsidRPr="00E07977" w:rsidRDefault="00696099" w:rsidP="00696099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MMBPIS</w:t>
            </w:r>
          </w:p>
        </w:tc>
        <w:tc>
          <w:tcPr>
            <w:tcW w:w="2250" w:type="dxa"/>
          </w:tcPr>
          <w:p w14:paraId="56236C7A" w14:textId="44A4DFC5" w:rsidR="00696099" w:rsidRPr="00E07977" w:rsidRDefault="00696099" w:rsidP="00EF70EF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demonstrate compliance with the MMBPIS Key Performance Indicators as defined in the MDHHS/PIHP Contract</w:t>
            </w:r>
          </w:p>
        </w:tc>
        <w:tc>
          <w:tcPr>
            <w:tcW w:w="2160" w:type="dxa"/>
          </w:tcPr>
          <w:p w14:paraId="28056594" w14:textId="32C61D8A" w:rsidR="00696099" w:rsidRPr="00E07977" w:rsidRDefault="00696099" w:rsidP="001179A4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Refer to the </w:t>
            </w:r>
            <w:r w:rsidR="001179A4" w:rsidRPr="00E07977">
              <w:rPr>
                <w:rFonts w:cstheme="minorHAnsi"/>
              </w:rPr>
              <w:t>Michigan’s Mission-Based Performance Indicator System, Codebook</w:t>
            </w:r>
            <w:r w:rsidRPr="00E07977">
              <w:rPr>
                <w:rFonts w:cstheme="minorHAnsi"/>
              </w:rPr>
              <w:t xml:space="preserve"> for detailed descriptions of key performance indicator standards</w:t>
            </w:r>
          </w:p>
        </w:tc>
        <w:tc>
          <w:tcPr>
            <w:tcW w:w="1615" w:type="dxa"/>
          </w:tcPr>
          <w:p w14:paraId="7216AFC3" w14:textId="31E33EC7" w:rsidR="00696099" w:rsidRPr="00E07977" w:rsidRDefault="001179A4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Refer to the Michigan’s Mission Based Performance Indicator System, Codebook</w:t>
            </w:r>
          </w:p>
        </w:tc>
        <w:tc>
          <w:tcPr>
            <w:tcW w:w="1535" w:type="dxa"/>
          </w:tcPr>
          <w:p w14:paraId="6B61B33D" w14:textId="2F77B194" w:rsidR="00696099" w:rsidRPr="00E07977" w:rsidRDefault="0069609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</w:t>
            </w:r>
          </w:p>
        </w:tc>
        <w:tc>
          <w:tcPr>
            <w:tcW w:w="1170" w:type="dxa"/>
          </w:tcPr>
          <w:p w14:paraId="1E261E7A" w14:textId="02812CFD" w:rsidR="00696099" w:rsidRPr="00E07977" w:rsidRDefault="0069609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Quarterly</w:t>
            </w:r>
          </w:p>
        </w:tc>
      </w:tr>
      <w:tr w:rsidR="00057019" w:rsidRPr="00E07977" w14:paraId="1D813D5C" w14:textId="77777777" w:rsidTr="00DB1810">
        <w:trPr>
          <w:cantSplit/>
          <w:jc w:val="center"/>
        </w:trPr>
        <w:tc>
          <w:tcPr>
            <w:tcW w:w="1535" w:type="dxa"/>
          </w:tcPr>
          <w:p w14:paraId="6D1F96F7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Recipient Rights</w:t>
            </w:r>
          </w:p>
        </w:tc>
        <w:tc>
          <w:tcPr>
            <w:tcW w:w="2250" w:type="dxa"/>
          </w:tcPr>
          <w:p w14:paraId="4D4AF9C4" w14:textId="534F6F7B" w:rsidR="00874903" w:rsidRPr="00E07977" w:rsidRDefault="00057019" w:rsidP="00934CFE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take appropriate remedial action whenever investigations/</w:t>
            </w:r>
            <w:r w:rsidR="003553FB" w:rsidRPr="00E07977">
              <w:rPr>
                <w:rFonts w:cstheme="minorHAnsi"/>
              </w:rPr>
              <w:t xml:space="preserve"> </w:t>
            </w:r>
            <w:r w:rsidRPr="00E07977">
              <w:rPr>
                <w:rFonts w:cstheme="minorHAnsi"/>
              </w:rPr>
              <w:t>reviews</w:t>
            </w:r>
            <w:r w:rsidR="003553FB" w:rsidRPr="00E07977">
              <w:rPr>
                <w:rFonts w:cstheme="minorHAnsi"/>
              </w:rPr>
              <w:t xml:space="preserve"> </w:t>
            </w:r>
            <w:proofErr w:type="gramStart"/>
            <w:r w:rsidRPr="00E07977">
              <w:rPr>
                <w:rFonts w:cstheme="minorHAnsi"/>
              </w:rPr>
              <w:t>conducted</w:t>
            </w:r>
            <w:proofErr w:type="gramEnd"/>
            <w:r w:rsidRPr="00E07977">
              <w:rPr>
                <w:rFonts w:cstheme="minorHAnsi"/>
              </w:rPr>
              <w:t xml:space="preserve"> by CMHSP Recipient Rights Office or </w:t>
            </w:r>
            <w:r w:rsidR="00934CFE" w:rsidRPr="00E07977">
              <w:rPr>
                <w:rFonts w:cstheme="minorHAnsi"/>
              </w:rPr>
              <w:t>LRE</w:t>
            </w:r>
            <w:r w:rsidRPr="00E07977">
              <w:rPr>
                <w:rFonts w:cstheme="minorHAnsi"/>
              </w:rPr>
              <w:t xml:space="preserve">.  </w:t>
            </w:r>
          </w:p>
        </w:tc>
        <w:tc>
          <w:tcPr>
            <w:tcW w:w="2160" w:type="dxa"/>
          </w:tcPr>
          <w:p w14:paraId="505CC1AC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Written plan(s) for improvement from reviews or investigations will be submitted within the indicated time frame</w:t>
            </w:r>
          </w:p>
        </w:tc>
        <w:tc>
          <w:tcPr>
            <w:tcW w:w="1615" w:type="dxa"/>
          </w:tcPr>
          <w:p w14:paraId="117ECBCA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100%</w:t>
            </w:r>
          </w:p>
        </w:tc>
        <w:tc>
          <w:tcPr>
            <w:tcW w:w="1535" w:type="dxa"/>
          </w:tcPr>
          <w:p w14:paraId="485CB1DD" w14:textId="77777777" w:rsidR="00874903" w:rsidRPr="00E07977" w:rsidRDefault="0005701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</w:t>
            </w:r>
          </w:p>
        </w:tc>
        <w:tc>
          <w:tcPr>
            <w:tcW w:w="1170" w:type="dxa"/>
          </w:tcPr>
          <w:p w14:paraId="27204EF1" w14:textId="76F5BCD0" w:rsidR="00874903" w:rsidRPr="00E07977" w:rsidRDefault="002D4C6D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Ongoing</w:t>
            </w:r>
          </w:p>
        </w:tc>
      </w:tr>
      <w:tr w:rsidR="00057019" w:rsidRPr="00E07977" w14:paraId="1B235385" w14:textId="77777777" w:rsidTr="00DB1810">
        <w:trPr>
          <w:cantSplit/>
          <w:jc w:val="center"/>
        </w:trPr>
        <w:tc>
          <w:tcPr>
            <w:tcW w:w="1535" w:type="dxa"/>
          </w:tcPr>
          <w:p w14:paraId="021BA2AE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Credentialing Requirements</w:t>
            </w:r>
          </w:p>
        </w:tc>
        <w:tc>
          <w:tcPr>
            <w:tcW w:w="2250" w:type="dxa"/>
          </w:tcPr>
          <w:p w14:paraId="793C9FC9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The Provider will demonstrate qualifications and assurances to perform contracted services.  </w:t>
            </w:r>
          </w:p>
        </w:tc>
        <w:tc>
          <w:tcPr>
            <w:tcW w:w="2160" w:type="dxa"/>
          </w:tcPr>
          <w:p w14:paraId="25CAD32A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meet all credentialing requirements within 30 calendar days of notice of non-compliance.</w:t>
            </w:r>
          </w:p>
        </w:tc>
        <w:tc>
          <w:tcPr>
            <w:tcW w:w="1615" w:type="dxa"/>
          </w:tcPr>
          <w:p w14:paraId="7113C773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100%</w:t>
            </w:r>
          </w:p>
        </w:tc>
        <w:tc>
          <w:tcPr>
            <w:tcW w:w="1535" w:type="dxa"/>
          </w:tcPr>
          <w:p w14:paraId="1ED774C6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 or LRE</w:t>
            </w:r>
          </w:p>
        </w:tc>
        <w:tc>
          <w:tcPr>
            <w:tcW w:w="1170" w:type="dxa"/>
          </w:tcPr>
          <w:p w14:paraId="4AA79C48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Monthly</w:t>
            </w:r>
          </w:p>
        </w:tc>
      </w:tr>
      <w:tr w:rsidR="00057019" w:rsidRPr="00E07977" w14:paraId="7473017D" w14:textId="77777777" w:rsidTr="00DB1810">
        <w:trPr>
          <w:cantSplit/>
          <w:jc w:val="center"/>
        </w:trPr>
        <w:tc>
          <w:tcPr>
            <w:tcW w:w="1535" w:type="dxa"/>
          </w:tcPr>
          <w:p w14:paraId="3547D53B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Training Requirements</w:t>
            </w:r>
          </w:p>
        </w:tc>
        <w:tc>
          <w:tcPr>
            <w:tcW w:w="2250" w:type="dxa"/>
          </w:tcPr>
          <w:p w14:paraId="1FCC0FF4" w14:textId="1D40A3F4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The Provider will </w:t>
            </w:r>
            <w:r w:rsidR="002D4C6D" w:rsidRPr="00E07977">
              <w:rPr>
                <w:rFonts w:cstheme="minorHAnsi"/>
              </w:rPr>
              <w:t xml:space="preserve">ensure staff are trained </w:t>
            </w:r>
            <w:proofErr w:type="gramStart"/>
            <w:r w:rsidR="002D4C6D" w:rsidRPr="00E07977">
              <w:rPr>
                <w:rFonts w:cstheme="minorHAnsi"/>
              </w:rPr>
              <w:t>on</w:t>
            </w:r>
            <w:proofErr w:type="gramEnd"/>
            <w:r w:rsidR="002D4C6D" w:rsidRPr="00E07977">
              <w:rPr>
                <w:rFonts w:cstheme="minorHAnsi"/>
              </w:rPr>
              <w:t xml:space="preserve"> all required trainings</w:t>
            </w:r>
            <w:r w:rsidR="00B63C7D" w:rsidRPr="00E07977">
              <w:rPr>
                <w:rFonts w:cstheme="minorHAnsi"/>
              </w:rPr>
              <w:t xml:space="preserve"> as specified in Attachment I:  Training Grid.  </w:t>
            </w:r>
            <w:r w:rsidR="002D4C6D" w:rsidRPr="00E07977">
              <w:rPr>
                <w:rFonts w:cstheme="minorHAnsi"/>
              </w:rPr>
              <w:t xml:space="preserve"> </w:t>
            </w:r>
          </w:p>
        </w:tc>
        <w:tc>
          <w:tcPr>
            <w:tcW w:w="2160" w:type="dxa"/>
          </w:tcPr>
          <w:p w14:paraId="1DF113BE" w14:textId="67189B0E" w:rsidR="002D4C6D" w:rsidRPr="00E07977" w:rsidRDefault="002D4C6D" w:rsidP="000D4BD1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New hires and annually as specified in Attachment I</w:t>
            </w:r>
          </w:p>
          <w:p w14:paraId="728CBD1C" w14:textId="53DE83BB" w:rsidR="002D4C6D" w:rsidRPr="00E07977" w:rsidRDefault="002D4C6D" w:rsidP="003F5CDC">
            <w:pPr>
              <w:pStyle w:val="Footer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3FC13A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100%</w:t>
            </w:r>
          </w:p>
        </w:tc>
        <w:tc>
          <w:tcPr>
            <w:tcW w:w="1535" w:type="dxa"/>
          </w:tcPr>
          <w:p w14:paraId="54E490D5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 or LRE</w:t>
            </w:r>
          </w:p>
        </w:tc>
        <w:tc>
          <w:tcPr>
            <w:tcW w:w="1170" w:type="dxa"/>
          </w:tcPr>
          <w:p w14:paraId="5F950F26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Monthly</w:t>
            </w:r>
          </w:p>
        </w:tc>
      </w:tr>
      <w:tr w:rsidR="00057019" w:rsidRPr="00E07977" w14:paraId="4E687E63" w14:textId="77777777" w:rsidTr="00DB1810">
        <w:trPr>
          <w:cantSplit/>
          <w:trHeight w:val="46"/>
          <w:jc w:val="center"/>
        </w:trPr>
        <w:tc>
          <w:tcPr>
            <w:tcW w:w="1535" w:type="dxa"/>
          </w:tcPr>
          <w:p w14:paraId="7B0D0CB2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lastRenderedPageBreak/>
              <w:t>Financial Management</w:t>
            </w:r>
          </w:p>
        </w:tc>
        <w:tc>
          <w:tcPr>
            <w:tcW w:w="2250" w:type="dxa"/>
          </w:tcPr>
          <w:p w14:paraId="3EAD0545" w14:textId="2B129DEE" w:rsidR="00874903" w:rsidRPr="00E07977" w:rsidRDefault="002E62C1" w:rsidP="007A0237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The Provider will electronically submit clean claims in a timely manner for processing</w:t>
            </w:r>
            <w:r w:rsidR="00696099" w:rsidRPr="00E07977">
              <w:rPr>
                <w:rFonts w:cstheme="minorHAnsi"/>
              </w:rPr>
              <w:t xml:space="preserve"> in accordance with the requirements </w:t>
            </w:r>
            <w:r w:rsidR="007A0237" w:rsidRPr="00E07977">
              <w:rPr>
                <w:rFonts w:cstheme="minorHAnsi"/>
              </w:rPr>
              <w:t xml:space="preserve">set forth in the Provider Service Agreement Section 3.03 </w:t>
            </w:r>
          </w:p>
        </w:tc>
        <w:tc>
          <w:tcPr>
            <w:tcW w:w="2160" w:type="dxa"/>
          </w:tcPr>
          <w:p w14:paraId="257B82E9" w14:textId="77777777" w:rsidR="00EF70EF" w:rsidRPr="00E07977" w:rsidRDefault="00EF70EF" w:rsidP="00645858">
            <w:pPr>
              <w:spacing w:after="120"/>
              <w:rPr>
                <w:rFonts w:cstheme="minorHAnsi"/>
              </w:rPr>
            </w:pPr>
            <w:r w:rsidRPr="00E07977">
              <w:rPr>
                <w:rFonts w:cstheme="minorHAnsi"/>
              </w:rPr>
              <w:t>80% of PROFESSIONAL claims submitted within 60 days, and 90% within 90 days.  </w:t>
            </w:r>
          </w:p>
          <w:p w14:paraId="0EB0049B" w14:textId="5C488F70" w:rsidR="00874903" w:rsidRPr="00E07977" w:rsidRDefault="00EF70EF" w:rsidP="00645858">
            <w:pPr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60% of INSTITUTIONAL claims </w:t>
            </w:r>
            <w:proofErr w:type="gramStart"/>
            <w:r w:rsidRPr="00E07977">
              <w:rPr>
                <w:rFonts w:cstheme="minorHAnsi"/>
              </w:rPr>
              <w:t>submitted</w:t>
            </w:r>
            <w:proofErr w:type="gramEnd"/>
            <w:r w:rsidRPr="00E07977">
              <w:rPr>
                <w:rFonts w:cstheme="minorHAnsi"/>
              </w:rPr>
              <w:t xml:space="preserve"> within </w:t>
            </w:r>
            <w:r w:rsidR="00085E68" w:rsidRPr="00E07977">
              <w:rPr>
                <w:rFonts w:cstheme="minorHAnsi"/>
              </w:rPr>
              <w:t>90 days, and 80% within 12</w:t>
            </w:r>
            <w:r w:rsidRPr="00E07977">
              <w:rPr>
                <w:rFonts w:cstheme="minorHAnsi"/>
              </w:rPr>
              <w:t xml:space="preserve">0 days. </w:t>
            </w:r>
          </w:p>
        </w:tc>
        <w:tc>
          <w:tcPr>
            <w:tcW w:w="1615" w:type="dxa"/>
          </w:tcPr>
          <w:p w14:paraId="11AD6E4D" w14:textId="7743C3EA" w:rsidR="00874903" w:rsidRPr="00E07977" w:rsidRDefault="00696099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See Performance Indicator column</w:t>
            </w:r>
          </w:p>
        </w:tc>
        <w:tc>
          <w:tcPr>
            <w:tcW w:w="1535" w:type="dxa"/>
          </w:tcPr>
          <w:p w14:paraId="456D3818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 and LRE</w:t>
            </w:r>
          </w:p>
        </w:tc>
        <w:tc>
          <w:tcPr>
            <w:tcW w:w="1170" w:type="dxa"/>
          </w:tcPr>
          <w:p w14:paraId="0A0DCC6F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Monthly</w:t>
            </w:r>
          </w:p>
        </w:tc>
      </w:tr>
      <w:tr w:rsidR="00057019" w:rsidRPr="00E07977" w14:paraId="0169414F" w14:textId="77777777" w:rsidTr="00DB1810">
        <w:trPr>
          <w:cantSplit/>
          <w:jc w:val="center"/>
        </w:trPr>
        <w:tc>
          <w:tcPr>
            <w:tcW w:w="1535" w:type="dxa"/>
          </w:tcPr>
          <w:p w14:paraId="19C5816C" w14:textId="77777777" w:rsidR="00874903" w:rsidRPr="00E07977" w:rsidRDefault="00494BBA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Customer Satisfaction</w:t>
            </w:r>
          </w:p>
        </w:tc>
        <w:tc>
          <w:tcPr>
            <w:tcW w:w="2250" w:type="dxa"/>
          </w:tcPr>
          <w:p w14:paraId="4902BD76" w14:textId="75EC16B5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Individuals receiving the service will report their </w:t>
            </w:r>
            <w:r w:rsidR="004B1049" w:rsidRPr="00E07977">
              <w:rPr>
                <w:rFonts w:cstheme="minorHAnsi"/>
              </w:rPr>
              <w:t>assessment</w:t>
            </w:r>
            <w:r w:rsidRPr="00E07977">
              <w:rPr>
                <w:rFonts w:cstheme="minorHAnsi"/>
              </w:rPr>
              <w:t xml:space="preserve"> </w:t>
            </w:r>
            <w:proofErr w:type="gramStart"/>
            <w:r w:rsidRPr="00E07977">
              <w:rPr>
                <w:rFonts w:cstheme="minorHAnsi"/>
              </w:rPr>
              <w:t>with</w:t>
            </w:r>
            <w:proofErr w:type="gramEnd"/>
            <w:r w:rsidRPr="00E07977">
              <w:rPr>
                <w:rFonts w:cstheme="minorHAnsi"/>
              </w:rPr>
              <w:t xml:space="preserve"> the services received.  </w:t>
            </w:r>
          </w:p>
        </w:tc>
        <w:tc>
          <w:tcPr>
            <w:tcW w:w="2160" w:type="dxa"/>
          </w:tcPr>
          <w:p w14:paraId="092B3EAC" w14:textId="2D5F13CE" w:rsidR="00874903" w:rsidRPr="00E07977" w:rsidRDefault="00E90030" w:rsidP="002446A7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 xml:space="preserve">Individuals receiving services will indicate an overall score </w:t>
            </w:r>
            <w:r w:rsidR="002446A7" w:rsidRPr="00E07977">
              <w:rPr>
                <w:rFonts w:cstheme="minorHAnsi"/>
              </w:rPr>
              <w:t>ranging from “strongly agree” to “strongly disagree”</w:t>
            </w:r>
            <w:r w:rsidR="00057019" w:rsidRPr="00E07977">
              <w:rPr>
                <w:rFonts w:cstheme="minorHAnsi"/>
              </w:rPr>
              <w:t xml:space="preserve"> with the services they have received as evidenced by the results of </w:t>
            </w:r>
            <w:r w:rsidR="002E62C1" w:rsidRPr="00E07977">
              <w:rPr>
                <w:rFonts w:cstheme="minorHAnsi"/>
              </w:rPr>
              <w:t xml:space="preserve">the completed </w:t>
            </w:r>
            <w:r w:rsidR="0024179F" w:rsidRPr="00E07977">
              <w:rPr>
                <w:rFonts w:cstheme="minorHAnsi"/>
              </w:rPr>
              <w:t xml:space="preserve">Regional </w:t>
            </w:r>
            <w:r w:rsidR="00057019" w:rsidRPr="00E07977">
              <w:rPr>
                <w:rFonts w:cstheme="minorHAnsi"/>
              </w:rPr>
              <w:t>Customer Satisfaction Survey</w:t>
            </w:r>
          </w:p>
        </w:tc>
        <w:tc>
          <w:tcPr>
            <w:tcW w:w="1615" w:type="dxa"/>
          </w:tcPr>
          <w:p w14:paraId="5B10080D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85% or greater</w:t>
            </w:r>
          </w:p>
        </w:tc>
        <w:tc>
          <w:tcPr>
            <w:tcW w:w="1535" w:type="dxa"/>
          </w:tcPr>
          <w:p w14:paraId="1111C413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CMHSP</w:t>
            </w:r>
          </w:p>
        </w:tc>
        <w:tc>
          <w:tcPr>
            <w:tcW w:w="1170" w:type="dxa"/>
          </w:tcPr>
          <w:p w14:paraId="719BCF36" w14:textId="77777777" w:rsidR="00874903" w:rsidRPr="00E07977" w:rsidRDefault="002E62C1" w:rsidP="00874903">
            <w:pPr>
              <w:pStyle w:val="Footer"/>
              <w:rPr>
                <w:rFonts w:cstheme="minorHAnsi"/>
              </w:rPr>
            </w:pPr>
            <w:r w:rsidRPr="00E07977">
              <w:rPr>
                <w:rFonts w:cstheme="minorHAnsi"/>
              </w:rPr>
              <w:t>Quarterly</w:t>
            </w:r>
          </w:p>
        </w:tc>
      </w:tr>
    </w:tbl>
    <w:p w14:paraId="3DFB1C63" w14:textId="77777777" w:rsidR="00086C18" w:rsidRPr="0068485F" w:rsidRDefault="00086C18" w:rsidP="00645F4D">
      <w:pPr>
        <w:spacing w:after="0"/>
        <w:rPr>
          <w:rFonts w:cstheme="minorHAnsi"/>
        </w:rPr>
      </w:pPr>
    </w:p>
    <w:sectPr w:rsidR="00086C18" w:rsidRPr="0068485F" w:rsidSect="009A2C5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3531" w14:textId="77777777" w:rsidR="00724B5F" w:rsidRDefault="00724B5F" w:rsidP="00773EFA">
      <w:pPr>
        <w:spacing w:after="0" w:line="240" w:lineRule="auto"/>
      </w:pPr>
      <w:r>
        <w:separator/>
      </w:r>
    </w:p>
  </w:endnote>
  <w:endnote w:type="continuationSeparator" w:id="0">
    <w:p w14:paraId="7BC0910F" w14:textId="77777777" w:rsidR="00724B5F" w:rsidRDefault="00724B5F" w:rsidP="007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3C8" w14:textId="380376F5" w:rsidR="009C79A4" w:rsidRPr="003F5CDC" w:rsidRDefault="00086C18" w:rsidP="00DB1810">
    <w:pPr>
      <w:pStyle w:val="Footer"/>
      <w:jc w:val="right"/>
      <w:rPr>
        <w:i/>
      </w:rPr>
    </w:pPr>
    <w:r w:rsidRPr="003F5CDC">
      <w:rPr>
        <w:i/>
      </w:rPr>
      <w:t>Attachment F:  Performance Indicators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7CCF" w14:textId="77777777" w:rsidR="00724B5F" w:rsidRDefault="00724B5F" w:rsidP="00773EFA">
      <w:pPr>
        <w:spacing w:after="0" w:line="240" w:lineRule="auto"/>
      </w:pPr>
      <w:r>
        <w:separator/>
      </w:r>
    </w:p>
  </w:footnote>
  <w:footnote w:type="continuationSeparator" w:id="0">
    <w:p w14:paraId="1B292469" w14:textId="77777777" w:rsidR="00724B5F" w:rsidRDefault="00724B5F" w:rsidP="0077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A908" w14:textId="67245DA5" w:rsidR="00773EFA" w:rsidRPr="00DB1810" w:rsidRDefault="00086C18" w:rsidP="00773EFA">
    <w:pPr>
      <w:pStyle w:val="Header"/>
      <w:jc w:val="right"/>
      <w:rPr>
        <w:b/>
        <w:bCs/>
        <w:caps/>
      </w:rPr>
    </w:pPr>
    <w:r w:rsidRPr="00DB1810">
      <w:rPr>
        <w:b/>
        <w:bCs/>
        <w:caps/>
      </w:rPr>
      <w:t>Attachment F</w:t>
    </w:r>
  </w:p>
  <w:p w14:paraId="79297222" w14:textId="77777777" w:rsidR="00147120" w:rsidRDefault="00147120" w:rsidP="00773E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785"/>
    <w:multiLevelType w:val="hybridMultilevel"/>
    <w:tmpl w:val="738A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52A30"/>
    <w:multiLevelType w:val="hybridMultilevel"/>
    <w:tmpl w:val="428EA1A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25107EA"/>
    <w:multiLevelType w:val="hybridMultilevel"/>
    <w:tmpl w:val="83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4499">
    <w:abstractNumId w:val="2"/>
  </w:num>
  <w:num w:numId="2" w16cid:durableId="1645039242">
    <w:abstractNumId w:val="1"/>
  </w:num>
  <w:num w:numId="3" w16cid:durableId="132431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FA"/>
    <w:rsid w:val="00021BD5"/>
    <w:rsid w:val="00057019"/>
    <w:rsid w:val="00085E68"/>
    <w:rsid w:val="00086C18"/>
    <w:rsid w:val="000B3AC7"/>
    <w:rsid w:val="000C3D89"/>
    <w:rsid w:val="000D4BD1"/>
    <w:rsid w:val="001179A4"/>
    <w:rsid w:val="00122A5A"/>
    <w:rsid w:val="00125A1C"/>
    <w:rsid w:val="00147120"/>
    <w:rsid w:val="001931CB"/>
    <w:rsid w:val="001A23B8"/>
    <w:rsid w:val="00234D63"/>
    <w:rsid w:val="0024179F"/>
    <w:rsid w:val="002446A7"/>
    <w:rsid w:val="002535EA"/>
    <w:rsid w:val="00294014"/>
    <w:rsid w:val="002D4C6D"/>
    <w:rsid w:val="002E2BB3"/>
    <w:rsid w:val="002E62C1"/>
    <w:rsid w:val="003173E4"/>
    <w:rsid w:val="003553FB"/>
    <w:rsid w:val="003918F1"/>
    <w:rsid w:val="003B05FE"/>
    <w:rsid w:val="003B321E"/>
    <w:rsid w:val="003F5CDC"/>
    <w:rsid w:val="00494BBA"/>
    <w:rsid w:val="004B1049"/>
    <w:rsid w:val="005C5D96"/>
    <w:rsid w:val="005E195B"/>
    <w:rsid w:val="00630F36"/>
    <w:rsid w:val="00645858"/>
    <w:rsid w:val="00645F4D"/>
    <w:rsid w:val="00663993"/>
    <w:rsid w:val="00666170"/>
    <w:rsid w:val="0068485F"/>
    <w:rsid w:val="006952B0"/>
    <w:rsid w:val="00696099"/>
    <w:rsid w:val="00724B5F"/>
    <w:rsid w:val="00756420"/>
    <w:rsid w:val="00773EFA"/>
    <w:rsid w:val="007806C1"/>
    <w:rsid w:val="007A0237"/>
    <w:rsid w:val="007D3F05"/>
    <w:rsid w:val="007E4DD1"/>
    <w:rsid w:val="008416A9"/>
    <w:rsid w:val="00874903"/>
    <w:rsid w:val="008F6DC4"/>
    <w:rsid w:val="00934CFE"/>
    <w:rsid w:val="009A2C5D"/>
    <w:rsid w:val="009C79A4"/>
    <w:rsid w:val="00B23C8C"/>
    <w:rsid w:val="00B318A8"/>
    <w:rsid w:val="00B63C7D"/>
    <w:rsid w:val="00C27BE9"/>
    <w:rsid w:val="00C343C7"/>
    <w:rsid w:val="00C46FD6"/>
    <w:rsid w:val="00C553AC"/>
    <w:rsid w:val="00CE20E0"/>
    <w:rsid w:val="00DA26AA"/>
    <w:rsid w:val="00DB1810"/>
    <w:rsid w:val="00E07977"/>
    <w:rsid w:val="00E50AD6"/>
    <w:rsid w:val="00E90030"/>
    <w:rsid w:val="00ED63D6"/>
    <w:rsid w:val="00EF70EF"/>
    <w:rsid w:val="00FC3496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935DA"/>
  <w15:docId w15:val="{E2C11A13-CCEF-45E3-BF32-EB1226A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FA"/>
  </w:style>
  <w:style w:type="paragraph" w:styleId="Footer">
    <w:name w:val="footer"/>
    <w:basedOn w:val="Normal"/>
    <w:link w:val="FooterChar"/>
    <w:uiPriority w:val="99"/>
    <w:unhideWhenUsed/>
    <w:rsid w:val="0077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FA"/>
  </w:style>
  <w:style w:type="table" w:styleId="TableGrid">
    <w:name w:val="Table Grid"/>
    <w:basedOn w:val="TableNormal"/>
    <w:uiPriority w:val="39"/>
    <w:rsid w:val="0008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21e20c-462b-40c5-82f1-b7ecf66b248c">
      <Terms xmlns="http://schemas.microsoft.com/office/infopath/2007/PartnerControls"/>
    </lcf76f155ced4ddcb4097134ff3c332f>
    <TaxCatchAll xmlns="1be5e8a8-97d5-43d5-b524-6ad3071f6748" xsi:nil="true"/>
    <date xmlns="6f21e20c-462b-40c5-82f1-b7ecf66b2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15D3CB8A8C44A36A66B2DEBA858B" ma:contentTypeVersion="22" ma:contentTypeDescription="Create a new document." ma:contentTypeScope="" ma:versionID="a21633de08b20bee44e968d88701e5a9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6f21e20c-462b-40c5-82f1-b7ecf66b248c" targetNamespace="http://schemas.microsoft.com/office/2006/metadata/properties" ma:root="true" ma:fieldsID="0b55647e3d3b300a97ad9e95feffc229" ns1:_="" ns2:_="" ns3:_="">
    <xsd:import namespace="http://schemas.microsoft.com/sharepoint/v3"/>
    <xsd:import namespace="1be5e8a8-97d5-43d5-b524-6ad3071f6748"/>
    <xsd:import namespace="6f21e20c-462b-40c5-82f1-b7ecf66b2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1e20c-462b-40c5-82f1-b7ecf66b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E83F2-B812-4726-9C56-E8F9B45A6B74}">
  <ds:schemaRefs>
    <ds:schemaRef ds:uri="http://schemas.microsoft.com/office/2006/metadata/properties"/>
    <ds:schemaRef ds:uri="http://schemas.microsoft.com/office/infopath/2007/PartnerControls"/>
    <ds:schemaRef ds:uri="8d91ad30-eead-4b43-98af-1403e6f1e533"/>
    <ds:schemaRef ds:uri="278e3ae0-883c-419d-9921-281f9d57b57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7C25C7-212A-4676-875B-D98840297D12}"/>
</file>

<file path=customXml/itemProps3.xml><?xml version="1.0" encoding="utf-8"?>
<ds:datastoreItem xmlns:ds="http://schemas.openxmlformats.org/officeDocument/2006/customXml" ds:itemID="{D47381F8-6CAF-4D68-AADD-F55DC2A5D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Phelps</dc:creator>
  <cp:keywords/>
  <dc:description/>
  <cp:lastModifiedBy>Jim McCormick</cp:lastModifiedBy>
  <cp:revision>10</cp:revision>
  <cp:lastPrinted>2017-05-23T17:15:00Z</cp:lastPrinted>
  <dcterms:created xsi:type="dcterms:W3CDTF">2021-08-02T15:14:00Z</dcterms:created>
  <dcterms:modified xsi:type="dcterms:W3CDTF">2023-08-02T18:58:00Z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0x010100177A15D3CB8A8C44A36A66B2DEBA858B</vt:lpwstr>
  </property>
  <property fmtid="{D5CDD505-2E9C-101B-9397-08002B2CF9AE}" pid="3" name="MediaServiceImageTags">
    <vt:lpwstr/>
  </property>
</Properties>
</file>